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8F" w:rsidRDefault="00AD768F" w:rsidP="0000481A">
      <w:pPr>
        <w:jc w:val="both"/>
      </w:pPr>
    </w:p>
    <w:p w:rsidR="00AD768F" w:rsidRDefault="00AD768F" w:rsidP="0000481A">
      <w:pPr>
        <w:jc w:val="both"/>
      </w:pPr>
    </w:p>
    <w:p w:rsidR="0000481A" w:rsidRDefault="0000481A" w:rsidP="0000481A">
      <w:pPr>
        <w:jc w:val="both"/>
        <w:rPr>
          <w:sz w:val="20"/>
          <w:szCs w:val="20"/>
        </w:rPr>
      </w:pPr>
      <w:r>
        <w:t xml:space="preserve">                                                                                           </w:t>
      </w:r>
      <w:r w:rsidR="001B1754">
        <w:t xml:space="preserve">   </w:t>
      </w:r>
      <w:r>
        <w:t xml:space="preserve">   PATVIRTINTA</w:t>
      </w:r>
    </w:p>
    <w:p w:rsidR="0000481A" w:rsidRDefault="0000481A" w:rsidP="0000481A">
      <w:pPr>
        <w:jc w:val="both"/>
        <w:rPr>
          <w:sz w:val="20"/>
          <w:szCs w:val="20"/>
        </w:rPr>
      </w:pPr>
      <w:r>
        <w:rPr>
          <w:sz w:val="20"/>
          <w:szCs w:val="20"/>
        </w:rPr>
        <w:t xml:space="preserve">                                                                                                                          lopšelio-darželio „Dobilas“         </w:t>
      </w:r>
    </w:p>
    <w:p w:rsidR="0000481A" w:rsidRDefault="0000481A" w:rsidP="0000481A">
      <w:pPr>
        <w:jc w:val="both"/>
        <w:rPr>
          <w:sz w:val="20"/>
          <w:szCs w:val="20"/>
        </w:rPr>
      </w:pPr>
      <w:r>
        <w:rPr>
          <w:sz w:val="20"/>
          <w:szCs w:val="20"/>
        </w:rPr>
        <w:t xml:space="preserve">                                                                                                                          direktoriaus 201</w:t>
      </w:r>
      <w:r w:rsidR="00B0704C">
        <w:rPr>
          <w:sz w:val="20"/>
          <w:szCs w:val="20"/>
        </w:rPr>
        <w:t xml:space="preserve">5 </w:t>
      </w:r>
      <w:r>
        <w:rPr>
          <w:sz w:val="20"/>
          <w:szCs w:val="20"/>
        </w:rPr>
        <w:t xml:space="preserve"> m. </w:t>
      </w:r>
      <w:r w:rsidR="00F12B34">
        <w:rPr>
          <w:sz w:val="20"/>
          <w:szCs w:val="20"/>
        </w:rPr>
        <w:t>rugsėjo</w:t>
      </w:r>
      <w:r>
        <w:rPr>
          <w:sz w:val="20"/>
          <w:szCs w:val="20"/>
        </w:rPr>
        <w:t xml:space="preserve"> </w:t>
      </w:r>
      <w:r w:rsidR="00B0704C">
        <w:rPr>
          <w:sz w:val="20"/>
          <w:szCs w:val="20"/>
        </w:rPr>
        <w:t>1</w:t>
      </w:r>
      <w:r>
        <w:rPr>
          <w:sz w:val="20"/>
          <w:szCs w:val="20"/>
        </w:rPr>
        <w:t xml:space="preserve"> d.</w:t>
      </w:r>
    </w:p>
    <w:p w:rsidR="0000481A" w:rsidRDefault="0000481A" w:rsidP="0000481A">
      <w:pPr>
        <w:jc w:val="both"/>
        <w:rPr>
          <w:sz w:val="20"/>
          <w:szCs w:val="20"/>
        </w:rPr>
      </w:pPr>
      <w:r>
        <w:rPr>
          <w:sz w:val="20"/>
          <w:szCs w:val="20"/>
        </w:rPr>
        <w:t xml:space="preserve">                                                                                                                          įsakymu Nr. V1-</w:t>
      </w:r>
      <w:r w:rsidR="00F12B34">
        <w:rPr>
          <w:sz w:val="20"/>
          <w:szCs w:val="20"/>
        </w:rPr>
        <w:t>93</w:t>
      </w:r>
    </w:p>
    <w:p w:rsidR="0000481A" w:rsidRDefault="0000481A" w:rsidP="0000481A">
      <w:pPr>
        <w:jc w:val="both"/>
        <w:rPr>
          <w:sz w:val="20"/>
          <w:szCs w:val="20"/>
        </w:rPr>
      </w:pPr>
    </w:p>
    <w:p w:rsidR="0000481A" w:rsidRDefault="0000481A" w:rsidP="0000481A">
      <w:pPr>
        <w:jc w:val="both"/>
        <w:rPr>
          <w:sz w:val="20"/>
          <w:szCs w:val="20"/>
        </w:rPr>
      </w:pPr>
      <w:r>
        <w:rPr>
          <w:sz w:val="20"/>
          <w:szCs w:val="20"/>
        </w:rPr>
        <w:t xml:space="preserve">                                                                                                                                                                                      </w:t>
      </w:r>
    </w:p>
    <w:p w:rsidR="0000481A" w:rsidRDefault="0000481A" w:rsidP="0000481A">
      <w:pPr>
        <w:jc w:val="center"/>
      </w:pPr>
    </w:p>
    <w:p w:rsidR="0000481A" w:rsidRDefault="0000481A" w:rsidP="0000481A">
      <w:pPr>
        <w:jc w:val="center"/>
      </w:pPr>
    </w:p>
    <w:p w:rsidR="0000481A" w:rsidRDefault="0000481A" w:rsidP="0000481A">
      <w:pPr>
        <w:jc w:val="center"/>
        <w:rPr>
          <w:b/>
          <w:sz w:val="28"/>
          <w:szCs w:val="28"/>
        </w:rPr>
      </w:pPr>
      <w:r>
        <w:rPr>
          <w:b/>
          <w:sz w:val="28"/>
          <w:szCs w:val="28"/>
        </w:rPr>
        <w:t>PANEVĖŽIO LOPŠELIS -  DARŽELIS „DOBILAS“</w:t>
      </w:r>
    </w:p>
    <w:p w:rsidR="0000481A" w:rsidRDefault="0000481A" w:rsidP="0000481A">
      <w:pPr>
        <w:jc w:val="center"/>
        <w:rPr>
          <w:b/>
          <w:sz w:val="28"/>
          <w:szCs w:val="28"/>
        </w:rPr>
      </w:pPr>
    </w:p>
    <w:p w:rsidR="0000481A" w:rsidRDefault="0000481A" w:rsidP="0000481A">
      <w:pPr>
        <w:jc w:val="center"/>
        <w:rPr>
          <w:b/>
          <w:sz w:val="28"/>
          <w:szCs w:val="28"/>
        </w:rPr>
      </w:pPr>
    </w:p>
    <w:p w:rsidR="0000481A" w:rsidRDefault="0000481A" w:rsidP="0000481A">
      <w:pPr>
        <w:jc w:val="center"/>
        <w:rPr>
          <w:b/>
          <w:sz w:val="28"/>
          <w:szCs w:val="28"/>
        </w:rPr>
      </w:pPr>
    </w:p>
    <w:p w:rsidR="0000481A" w:rsidRDefault="0000481A" w:rsidP="0000481A">
      <w:pPr>
        <w:jc w:val="center"/>
        <w:rPr>
          <w:b/>
          <w:sz w:val="28"/>
          <w:szCs w:val="28"/>
        </w:rPr>
      </w:pPr>
    </w:p>
    <w:p w:rsidR="0000481A" w:rsidRDefault="0000481A" w:rsidP="0000481A">
      <w:pPr>
        <w:jc w:val="center"/>
        <w:rPr>
          <w:b/>
          <w:sz w:val="28"/>
          <w:szCs w:val="28"/>
        </w:rPr>
      </w:pPr>
    </w:p>
    <w:p w:rsidR="0000481A" w:rsidRDefault="0000481A" w:rsidP="0000481A">
      <w:pPr>
        <w:jc w:val="center"/>
        <w:rPr>
          <w:b/>
          <w:sz w:val="40"/>
          <w:szCs w:val="40"/>
        </w:rPr>
      </w:pPr>
    </w:p>
    <w:p w:rsidR="0000481A" w:rsidRDefault="0000481A" w:rsidP="0000481A">
      <w:pPr>
        <w:jc w:val="center"/>
        <w:rPr>
          <w:b/>
          <w:sz w:val="40"/>
          <w:szCs w:val="40"/>
        </w:rPr>
      </w:pPr>
    </w:p>
    <w:p w:rsidR="0000481A" w:rsidRDefault="0000481A" w:rsidP="0000481A">
      <w:pPr>
        <w:jc w:val="center"/>
        <w:rPr>
          <w:b/>
          <w:sz w:val="40"/>
          <w:szCs w:val="40"/>
        </w:rPr>
      </w:pPr>
      <w:r>
        <w:rPr>
          <w:b/>
          <w:sz w:val="40"/>
          <w:szCs w:val="40"/>
        </w:rPr>
        <w:t>PRIEŠMOKYKLINIO UGDYMO</w:t>
      </w:r>
      <w:r w:rsidR="009D0433">
        <w:rPr>
          <w:b/>
          <w:sz w:val="40"/>
          <w:szCs w:val="40"/>
        </w:rPr>
        <w:t xml:space="preserve"> PROGRAMOS UGDYMO</w:t>
      </w:r>
      <w:r>
        <w:rPr>
          <w:b/>
          <w:sz w:val="40"/>
          <w:szCs w:val="40"/>
        </w:rPr>
        <w:t xml:space="preserve"> </w:t>
      </w:r>
      <w:r w:rsidR="00F12B34">
        <w:rPr>
          <w:b/>
          <w:sz w:val="40"/>
          <w:szCs w:val="40"/>
        </w:rPr>
        <w:t>PLANAS</w:t>
      </w:r>
    </w:p>
    <w:p w:rsidR="0000481A" w:rsidRDefault="0000481A" w:rsidP="0000481A">
      <w:pPr>
        <w:jc w:val="center"/>
        <w:rPr>
          <w:b/>
          <w:sz w:val="40"/>
          <w:szCs w:val="40"/>
        </w:rPr>
      </w:pPr>
    </w:p>
    <w:p w:rsidR="0000481A" w:rsidRDefault="0000481A" w:rsidP="0000481A">
      <w:pPr>
        <w:jc w:val="center"/>
        <w:rPr>
          <w:b/>
          <w:sz w:val="40"/>
          <w:szCs w:val="40"/>
        </w:rPr>
      </w:pPr>
      <w:r>
        <w:rPr>
          <w:b/>
          <w:sz w:val="40"/>
          <w:szCs w:val="40"/>
        </w:rPr>
        <w:t>201</w:t>
      </w:r>
      <w:r w:rsidR="00B0704C">
        <w:rPr>
          <w:b/>
          <w:sz w:val="40"/>
          <w:szCs w:val="40"/>
        </w:rPr>
        <w:t>5</w:t>
      </w:r>
      <w:r>
        <w:rPr>
          <w:b/>
          <w:sz w:val="40"/>
          <w:szCs w:val="40"/>
        </w:rPr>
        <w:t xml:space="preserve"> – 201</w:t>
      </w:r>
      <w:r w:rsidR="00B0704C">
        <w:rPr>
          <w:b/>
          <w:sz w:val="40"/>
          <w:szCs w:val="40"/>
        </w:rPr>
        <w:t>6</w:t>
      </w:r>
      <w:r>
        <w:rPr>
          <w:b/>
          <w:sz w:val="40"/>
          <w:szCs w:val="40"/>
        </w:rPr>
        <w:t xml:space="preserve"> m. m.</w:t>
      </w:r>
    </w:p>
    <w:p w:rsidR="0000481A" w:rsidRDefault="0000481A" w:rsidP="0000481A">
      <w:pPr>
        <w:jc w:val="center"/>
        <w:rPr>
          <w:b/>
          <w:sz w:val="40"/>
          <w:szCs w:val="40"/>
        </w:rPr>
      </w:pPr>
    </w:p>
    <w:p w:rsidR="0000481A" w:rsidRDefault="0000481A" w:rsidP="0000481A">
      <w:pPr>
        <w:jc w:val="center"/>
        <w:rPr>
          <w:b/>
          <w:sz w:val="40"/>
          <w:szCs w:val="40"/>
        </w:rPr>
      </w:pPr>
    </w:p>
    <w:p w:rsidR="0000481A" w:rsidRDefault="0000481A" w:rsidP="0000481A">
      <w:pPr>
        <w:jc w:val="center"/>
        <w:rPr>
          <w:b/>
          <w:sz w:val="40"/>
          <w:szCs w:val="40"/>
        </w:rPr>
      </w:pPr>
    </w:p>
    <w:p w:rsidR="0000481A" w:rsidRDefault="0000481A" w:rsidP="0000481A">
      <w:pPr>
        <w:jc w:val="center"/>
        <w:rPr>
          <w:b/>
          <w:sz w:val="40"/>
          <w:szCs w:val="40"/>
        </w:rPr>
      </w:pPr>
      <w:r>
        <w:rPr>
          <w:b/>
          <w:sz w:val="40"/>
          <w:szCs w:val="40"/>
        </w:rPr>
        <w:t>Panevėžys</w:t>
      </w:r>
    </w:p>
    <w:p w:rsidR="0000481A" w:rsidRDefault="0000481A" w:rsidP="0000481A">
      <w:pPr>
        <w:jc w:val="center"/>
        <w:rPr>
          <w:b/>
          <w:sz w:val="40"/>
          <w:szCs w:val="40"/>
        </w:rPr>
      </w:pPr>
      <w:r>
        <w:rPr>
          <w:b/>
          <w:sz w:val="40"/>
          <w:szCs w:val="40"/>
        </w:rPr>
        <w:t>201</w:t>
      </w:r>
      <w:r w:rsidR="00B0704C">
        <w:rPr>
          <w:b/>
          <w:sz w:val="40"/>
          <w:szCs w:val="40"/>
        </w:rPr>
        <w:t>5</w:t>
      </w:r>
      <w:r>
        <w:rPr>
          <w:b/>
          <w:sz w:val="40"/>
          <w:szCs w:val="40"/>
        </w:rPr>
        <w:t xml:space="preserve"> m. </w:t>
      </w:r>
    </w:p>
    <w:p w:rsidR="00F12B34" w:rsidRDefault="00F12B34" w:rsidP="0000481A">
      <w:pPr>
        <w:jc w:val="center"/>
        <w:rPr>
          <w:b/>
          <w:sz w:val="40"/>
          <w:szCs w:val="40"/>
        </w:rPr>
      </w:pPr>
    </w:p>
    <w:p w:rsidR="0000481A" w:rsidRDefault="0000481A" w:rsidP="0000481A">
      <w:pPr>
        <w:jc w:val="center"/>
        <w:rPr>
          <w:b/>
          <w:sz w:val="40"/>
          <w:szCs w:val="40"/>
        </w:rPr>
      </w:pPr>
    </w:p>
    <w:p w:rsidR="0000481A" w:rsidRDefault="0000481A" w:rsidP="0000481A">
      <w:pPr>
        <w:jc w:val="center"/>
        <w:rPr>
          <w:b/>
          <w:sz w:val="40"/>
          <w:szCs w:val="40"/>
        </w:rPr>
      </w:pPr>
    </w:p>
    <w:p w:rsidR="0000481A" w:rsidRDefault="0000481A" w:rsidP="0000481A">
      <w:pPr>
        <w:jc w:val="center"/>
        <w:rPr>
          <w:b/>
          <w:sz w:val="40"/>
          <w:szCs w:val="40"/>
        </w:rPr>
      </w:pPr>
    </w:p>
    <w:p w:rsidR="0000481A" w:rsidRDefault="0000481A" w:rsidP="0000481A">
      <w:pPr>
        <w:jc w:val="center"/>
        <w:rPr>
          <w:b/>
          <w:sz w:val="40"/>
          <w:szCs w:val="40"/>
        </w:rPr>
      </w:pPr>
    </w:p>
    <w:p w:rsidR="0000481A" w:rsidRDefault="0000481A" w:rsidP="0000481A">
      <w:pPr>
        <w:jc w:val="center"/>
        <w:rPr>
          <w:b/>
          <w:sz w:val="40"/>
          <w:szCs w:val="40"/>
        </w:rPr>
      </w:pPr>
    </w:p>
    <w:p w:rsidR="0000481A" w:rsidRDefault="0000481A" w:rsidP="0000481A">
      <w:pPr>
        <w:jc w:val="center"/>
        <w:rPr>
          <w:b/>
          <w:sz w:val="40"/>
          <w:szCs w:val="40"/>
        </w:rPr>
      </w:pPr>
    </w:p>
    <w:p w:rsidR="0000481A" w:rsidRDefault="0000481A" w:rsidP="0000481A">
      <w:pPr>
        <w:jc w:val="center"/>
        <w:rPr>
          <w:b/>
          <w:sz w:val="40"/>
          <w:szCs w:val="40"/>
        </w:rPr>
      </w:pPr>
    </w:p>
    <w:p w:rsidR="000F4344" w:rsidRDefault="000F4344" w:rsidP="0000481A">
      <w:pPr>
        <w:jc w:val="center"/>
        <w:rPr>
          <w:b/>
          <w:sz w:val="40"/>
          <w:szCs w:val="40"/>
        </w:rPr>
      </w:pPr>
    </w:p>
    <w:p w:rsidR="0000481A" w:rsidRDefault="0000481A" w:rsidP="0000481A">
      <w:pPr>
        <w:spacing w:line="360" w:lineRule="auto"/>
        <w:ind w:left="360"/>
        <w:jc w:val="center"/>
        <w:rPr>
          <w:b/>
        </w:rPr>
      </w:pPr>
    </w:p>
    <w:p w:rsidR="0000481A" w:rsidRDefault="0000481A" w:rsidP="0000481A">
      <w:pPr>
        <w:spacing w:line="360" w:lineRule="auto"/>
        <w:ind w:left="360"/>
        <w:jc w:val="center"/>
        <w:rPr>
          <w:b/>
        </w:rPr>
      </w:pPr>
      <w:r>
        <w:rPr>
          <w:b/>
        </w:rPr>
        <w:lastRenderedPageBreak/>
        <w:t>LOPŠELIO –DARŽELIO „DOBILAS“ 201</w:t>
      </w:r>
      <w:r w:rsidR="00B0704C">
        <w:rPr>
          <w:b/>
        </w:rPr>
        <w:t>4</w:t>
      </w:r>
      <w:r>
        <w:rPr>
          <w:b/>
        </w:rPr>
        <w:t>-201</w:t>
      </w:r>
      <w:r w:rsidR="00B0704C">
        <w:rPr>
          <w:b/>
        </w:rPr>
        <w:t>5</w:t>
      </w:r>
      <w:r>
        <w:rPr>
          <w:b/>
        </w:rPr>
        <w:t xml:space="preserve"> M. M.  PRIEŠMOKYKLINIO </w:t>
      </w:r>
    </w:p>
    <w:p w:rsidR="0000481A" w:rsidRDefault="0000481A" w:rsidP="0000481A">
      <w:pPr>
        <w:spacing w:line="360" w:lineRule="auto"/>
        <w:ind w:left="360"/>
        <w:jc w:val="center"/>
      </w:pPr>
      <w:r>
        <w:rPr>
          <w:b/>
        </w:rPr>
        <w:t>UGDYMO PLANO ĮGYVENDINIMO  ANALIZĖ</w:t>
      </w:r>
    </w:p>
    <w:p w:rsidR="0000481A" w:rsidRDefault="0000481A" w:rsidP="0000481A">
      <w:pPr>
        <w:spacing w:line="360" w:lineRule="auto"/>
        <w:ind w:firstLine="360"/>
        <w:jc w:val="both"/>
      </w:pPr>
      <w:r>
        <w:t>201</w:t>
      </w:r>
      <w:r w:rsidR="00113812">
        <w:t>4</w:t>
      </w:r>
      <w:r>
        <w:t>- 201</w:t>
      </w:r>
      <w:r w:rsidR="00113812">
        <w:t>5</w:t>
      </w:r>
      <w:r>
        <w:t xml:space="preserve"> m. m. lopšelyje – darželyje „Dobilas“ veikė  1 priešmokyklinio ugdymo grupė- „</w:t>
      </w:r>
      <w:proofErr w:type="spellStart"/>
      <w:r w:rsidR="00113812">
        <w:t>Perlėdžiukų</w:t>
      </w:r>
      <w:proofErr w:type="spellEnd"/>
      <w:r>
        <w:t xml:space="preserve">“ – </w:t>
      </w:r>
      <w:r w:rsidR="001B1754">
        <w:t>18</w:t>
      </w:r>
      <w:r>
        <w:t xml:space="preserve"> vaikų. Dar </w:t>
      </w:r>
      <w:r w:rsidR="001B1754">
        <w:t xml:space="preserve">aštuoni </w:t>
      </w:r>
      <w:r>
        <w:t xml:space="preserve"> </w:t>
      </w:r>
      <w:proofErr w:type="spellStart"/>
      <w:r>
        <w:t>priešmokyklinukai</w:t>
      </w:r>
      <w:proofErr w:type="spellEnd"/>
      <w:r>
        <w:t xml:space="preserve"> buvo ugdomi  „Meškiukų“ savaitinėje </w:t>
      </w:r>
      <w:r w:rsidR="006D3C12">
        <w:t xml:space="preserve">jungtinėje ikimokyklinėje </w:t>
      </w:r>
      <w:r>
        <w:t xml:space="preserve">grupėje bei </w:t>
      </w:r>
      <w:r w:rsidR="001B1754">
        <w:t xml:space="preserve">aštuoni </w:t>
      </w:r>
      <w:r>
        <w:t xml:space="preserve"> – „</w:t>
      </w:r>
      <w:r w:rsidR="001B1754">
        <w:t>Boružėlių“</w:t>
      </w:r>
      <w:r>
        <w:t xml:space="preserve"> grupėje. Iš viso ugdėme   3</w:t>
      </w:r>
      <w:r w:rsidR="001B1754">
        <w:t>4</w:t>
      </w:r>
      <w:r>
        <w:t xml:space="preserve"> </w:t>
      </w:r>
      <w:proofErr w:type="spellStart"/>
      <w:r>
        <w:t>priešmokyklinukus</w:t>
      </w:r>
      <w:proofErr w:type="spellEnd"/>
      <w:r>
        <w:t xml:space="preserve">.     Siekėme įgyvendinti  </w:t>
      </w:r>
      <w:r w:rsidR="001B1754">
        <w:t xml:space="preserve">2014-2015 </w:t>
      </w:r>
      <w:r>
        <w:t xml:space="preserve"> m. m. iškeltus tikslus ir uždavinius: užtikrinti kokybišką ugdymą, diferencijuoti bei individualizuoti ugdymo turinį. Priešmokyklinio ugdymo grupėje dirbo </w:t>
      </w:r>
      <w:r w:rsidR="001B1754">
        <w:t>Nijolė Kaminskienė</w:t>
      </w:r>
      <w:r>
        <w:t xml:space="preserve">, priešmokyklinio ugdymo pedagogė, išsilavinimas – </w:t>
      </w:r>
      <w:r w:rsidR="001B1754">
        <w:t>aukštasis</w:t>
      </w:r>
      <w:r>
        <w:t xml:space="preserve"> ikimokyklinis, ikimokyklinio ugdymo</w:t>
      </w:r>
      <w:r w:rsidR="001B1754">
        <w:t xml:space="preserve"> auklėtojos</w:t>
      </w:r>
      <w:r>
        <w:t xml:space="preserve"> metodininkės kvalifikacinė kategorija</w:t>
      </w:r>
      <w:r w:rsidRPr="00044675">
        <w:rPr>
          <w:b/>
        </w:rPr>
        <w:t xml:space="preserve">.    </w:t>
      </w:r>
      <w:r w:rsidRPr="006D3C12">
        <w:t>Buvo ugdom</w:t>
      </w:r>
      <w:r w:rsidR="006D3C12">
        <w:t>a</w:t>
      </w:r>
      <w:r w:rsidRPr="006D3C12">
        <w:t xml:space="preserve"> </w:t>
      </w:r>
      <w:r w:rsidR="006D3C12" w:rsidRPr="006D3C12">
        <w:t>20</w:t>
      </w:r>
      <w:r w:rsidRPr="006D3C12">
        <w:t xml:space="preserve"> vaik</w:t>
      </w:r>
      <w:r w:rsidR="006D3C12" w:rsidRPr="006D3C12">
        <w:t>ų</w:t>
      </w:r>
      <w:r w:rsidRPr="006D3C12">
        <w:t xml:space="preserve"> su specialiaisiais poreikiais, 1 iš jų su vidutiniais specialiaisiais poreikiais</w:t>
      </w:r>
      <w:r w:rsidR="006D3C12">
        <w:t xml:space="preserve">, </w:t>
      </w:r>
      <w:r w:rsidRPr="006D3C12">
        <w:t xml:space="preserve"> </w:t>
      </w:r>
      <w:r w:rsidR="006D3C12" w:rsidRPr="006D3C12">
        <w:t>1 su dideliais</w:t>
      </w:r>
      <w:r w:rsidR="006D3C12">
        <w:t xml:space="preserve"> specialiaisiais poreikiais.</w:t>
      </w:r>
      <w:r>
        <w:t xml:space="preserve"> Juos ugdė logopedės:  Karolina </w:t>
      </w:r>
      <w:proofErr w:type="spellStart"/>
      <w:r>
        <w:t>Masiliūnaitė</w:t>
      </w:r>
      <w:proofErr w:type="spellEnd"/>
      <w:r>
        <w:t xml:space="preserve">, Edita </w:t>
      </w:r>
      <w:proofErr w:type="spellStart"/>
      <w:r>
        <w:t>Gudaitienė</w:t>
      </w:r>
      <w:proofErr w:type="spellEnd"/>
      <w:r>
        <w:t xml:space="preserve"> – vyresniosios logopedės kvalifikacinė kategorija. Meninio ugdymo pedagogė Rita Vilkienė, vyresnioji meninio ugdymo pedagogė. </w:t>
      </w:r>
    </w:p>
    <w:p w:rsidR="0000481A" w:rsidRDefault="0000481A" w:rsidP="0000481A">
      <w:pPr>
        <w:spacing w:line="360" w:lineRule="auto"/>
        <w:jc w:val="both"/>
      </w:pPr>
      <w:r>
        <w:t xml:space="preserve">         Ugdytiniai išėjo į  mokyklas: „Vilties“ progimnaziją, Vyturio progimnaziją, </w:t>
      </w:r>
      <w:r w:rsidR="006D3C12">
        <w:t xml:space="preserve"> Panevėžio pradinę mokyklą</w:t>
      </w:r>
      <w:r>
        <w:t xml:space="preserve">, V. Mikalausko menų gimnaziją, Žemynos progimnaziją, </w:t>
      </w:r>
      <w:r w:rsidR="006D3C12">
        <w:t>„Nevėžio“ progimnaziją, Žemynos progimnaziją, Panevėžio rajono Paįstrio Juozo Zikaro gimnaziją, Panevėžio rajono Piniavos mokyklą-darželį.</w:t>
      </w:r>
    </w:p>
    <w:p w:rsidR="0000481A" w:rsidRDefault="0000481A" w:rsidP="0000481A">
      <w:pPr>
        <w:spacing w:line="360" w:lineRule="auto"/>
        <w:jc w:val="both"/>
      </w:pPr>
      <w:r>
        <w:t xml:space="preserve">      Priešmokyklinio ugdymo pedagogė, planuodama grupės ugdomąją veiklą atsižvelgė į bendrą grupės specifiką, individualius vaikų poreikius, įstaigos tikslus ir uždavinius. Grupės ugdomoji veikla buvo planuojama mėnesiais, savaitėmis. Priešmokyklinės grupės vaikų pasiekimai buvo vertinami pagal Panevėžio lopšelio – darželio „Dobilas“ priešmokyklinio amžiaus vaikų pažangos ir pasiekimų vertinimo tvarką, patvirtintą įstaigos direktoriaus 2010-09-01 įsakymu Nr.V1-5. </w:t>
      </w:r>
    </w:p>
    <w:p w:rsidR="0000481A" w:rsidRDefault="0000481A" w:rsidP="0000481A">
      <w:pPr>
        <w:spacing w:line="360" w:lineRule="auto"/>
        <w:jc w:val="both"/>
      </w:pPr>
      <w:r>
        <w:t xml:space="preserve">      </w:t>
      </w:r>
      <w:r w:rsidR="00044675">
        <w:t>2014-2015</w:t>
      </w:r>
      <w:r>
        <w:t xml:space="preserve"> m. m. priešmokyklinio ugdymo grupių ugdytinių pažangos ir pasiekimų  vertinimo suvestinė (procentais):  </w:t>
      </w:r>
    </w:p>
    <w:p w:rsidR="0000481A" w:rsidRDefault="0000481A" w:rsidP="0000481A">
      <w:pPr>
        <w:spacing w:line="360" w:lineRule="auto"/>
        <w:jc w:val="both"/>
      </w:pPr>
      <w:r>
        <w:t>„</w:t>
      </w:r>
      <w:r w:rsidR="00044675">
        <w:t>Pelėdžiukų</w:t>
      </w:r>
      <w:r>
        <w:t xml:space="preserve">“ grupė – </w:t>
      </w:r>
      <w:r w:rsidR="008330AB">
        <w:t xml:space="preserve">18 </w:t>
      </w:r>
      <w:proofErr w:type="spellStart"/>
      <w:r>
        <w:t>priešmokyklinukų</w:t>
      </w:r>
      <w:proofErr w:type="spell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00481A" w:rsidTr="00964E32">
        <w:tc>
          <w:tcPr>
            <w:tcW w:w="2463" w:type="dxa"/>
          </w:tcPr>
          <w:p w:rsidR="0000481A" w:rsidRPr="00394ECB" w:rsidRDefault="0000481A" w:rsidP="00964E32">
            <w:pPr>
              <w:spacing w:line="360" w:lineRule="auto"/>
              <w:jc w:val="both"/>
              <w:rPr>
                <w:b/>
              </w:rPr>
            </w:pPr>
            <w:r w:rsidRPr="00394ECB">
              <w:rPr>
                <w:b/>
              </w:rPr>
              <w:t>Kompetencijos</w:t>
            </w:r>
          </w:p>
        </w:tc>
        <w:tc>
          <w:tcPr>
            <w:tcW w:w="2463" w:type="dxa"/>
          </w:tcPr>
          <w:p w:rsidR="0000481A" w:rsidRDefault="0000481A" w:rsidP="00964E32">
            <w:pPr>
              <w:spacing w:line="360" w:lineRule="auto"/>
              <w:jc w:val="both"/>
            </w:pPr>
            <w:r>
              <w:t xml:space="preserve">Gebėjimai ir įgūdžiai jau susiformavę </w:t>
            </w:r>
          </w:p>
        </w:tc>
        <w:tc>
          <w:tcPr>
            <w:tcW w:w="2464" w:type="dxa"/>
          </w:tcPr>
          <w:p w:rsidR="0000481A" w:rsidRDefault="0000481A" w:rsidP="00964E32">
            <w:pPr>
              <w:spacing w:line="360" w:lineRule="auto"/>
              <w:jc w:val="both"/>
            </w:pPr>
            <w:r>
              <w:t>Gebėjimai ir įgūdžiai jau formuojasi</w:t>
            </w:r>
          </w:p>
        </w:tc>
        <w:tc>
          <w:tcPr>
            <w:tcW w:w="2464" w:type="dxa"/>
          </w:tcPr>
          <w:p w:rsidR="0000481A" w:rsidRDefault="0000481A" w:rsidP="0037226E">
            <w:pPr>
              <w:spacing w:line="360" w:lineRule="auto"/>
              <w:jc w:val="both"/>
            </w:pPr>
            <w:r>
              <w:t>Gebėjimai ir įgūdžiai formuoj</w:t>
            </w:r>
            <w:r w:rsidR="0037226E">
              <w:t>asi</w:t>
            </w:r>
            <w:r>
              <w:t xml:space="preserve"> lėtai, reikia pagalbos</w:t>
            </w:r>
          </w:p>
        </w:tc>
      </w:tr>
      <w:tr w:rsidR="0000481A" w:rsidTr="00964E32">
        <w:tc>
          <w:tcPr>
            <w:tcW w:w="2463" w:type="dxa"/>
          </w:tcPr>
          <w:p w:rsidR="0000481A" w:rsidRDefault="0000481A" w:rsidP="00964E32">
            <w:pPr>
              <w:spacing w:line="360" w:lineRule="auto"/>
              <w:jc w:val="both"/>
            </w:pPr>
            <w:r>
              <w:t>Socialinė</w:t>
            </w:r>
          </w:p>
        </w:tc>
        <w:tc>
          <w:tcPr>
            <w:tcW w:w="2463" w:type="dxa"/>
          </w:tcPr>
          <w:p w:rsidR="0000481A" w:rsidRDefault="0037226E" w:rsidP="00964E32">
            <w:pPr>
              <w:spacing w:line="360" w:lineRule="auto"/>
              <w:jc w:val="both"/>
            </w:pPr>
            <w:r>
              <w:t>75</w:t>
            </w:r>
          </w:p>
        </w:tc>
        <w:tc>
          <w:tcPr>
            <w:tcW w:w="2464" w:type="dxa"/>
          </w:tcPr>
          <w:p w:rsidR="0000481A" w:rsidRDefault="0037226E" w:rsidP="00964E32">
            <w:pPr>
              <w:spacing w:line="360" w:lineRule="auto"/>
              <w:jc w:val="both"/>
            </w:pPr>
            <w:r>
              <w:t>25</w:t>
            </w:r>
          </w:p>
        </w:tc>
        <w:tc>
          <w:tcPr>
            <w:tcW w:w="2464" w:type="dxa"/>
          </w:tcPr>
          <w:p w:rsidR="0000481A" w:rsidRDefault="0000481A" w:rsidP="00964E32">
            <w:pPr>
              <w:spacing w:line="360" w:lineRule="auto"/>
              <w:jc w:val="both"/>
            </w:pPr>
            <w:r>
              <w:t>0</w:t>
            </w:r>
          </w:p>
        </w:tc>
      </w:tr>
      <w:tr w:rsidR="0000481A" w:rsidTr="00964E32">
        <w:tc>
          <w:tcPr>
            <w:tcW w:w="2463" w:type="dxa"/>
          </w:tcPr>
          <w:p w:rsidR="0000481A" w:rsidRDefault="0000481A" w:rsidP="00964E32">
            <w:pPr>
              <w:spacing w:line="360" w:lineRule="auto"/>
              <w:jc w:val="both"/>
            </w:pPr>
            <w:r>
              <w:t xml:space="preserve">Pažinimo </w:t>
            </w:r>
          </w:p>
        </w:tc>
        <w:tc>
          <w:tcPr>
            <w:tcW w:w="2463" w:type="dxa"/>
          </w:tcPr>
          <w:p w:rsidR="0000481A" w:rsidRDefault="0037226E" w:rsidP="00964E32">
            <w:pPr>
              <w:spacing w:line="360" w:lineRule="auto"/>
              <w:jc w:val="both"/>
            </w:pPr>
            <w:r>
              <w:t>63</w:t>
            </w:r>
          </w:p>
        </w:tc>
        <w:tc>
          <w:tcPr>
            <w:tcW w:w="2464" w:type="dxa"/>
          </w:tcPr>
          <w:p w:rsidR="0000481A" w:rsidRDefault="0037226E" w:rsidP="00964E32">
            <w:pPr>
              <w:spacing w:line="360" w:lineRule="auto"/>
              <w:jc w:val="both"/>
            </w:pPr>
            <w:r>
              <w:t>47</w:t>
            </w:r>
          </w:p>
        </w:tc>
        <w:tc>
          <w:tcPr>
            <w:tcW w:w="2464" w:type="dxa"/>
          </w:tcPr>
          <w:p w:rsidR="0000481A" w:rsidRDefault="0000481A" w:rsidP="00964E32">
            <w:pPr>
              <w:spacing w:line="360" w:lineRule="auto"/>
              <w:jc w:val="both"/>
            </w:pPr>
            <w:r>
              <w:t>0</w:t>
            </w:r>
          </w:p>
        </w:tc>
      </w:tr>
      <w:tr w:rsidR="0000481A" w:rsidTr="00964E32">
        <w:tc>
          <w:tcPr>
            <w:tcW w:w="2463" w:type="dxa"/>
          </w:tcPr>
          <w:p w:rsidR="0000481A" w:rsidRDefault="0000481A" w:rsidP="00964E32">
            <w:pPr>
              <w:spacing w:line="360" w:lineRule="auto"/>
              <w:jc w:val="both"/>
            </w:pPr>
            <w:r>
              <w:t>Meninė</w:t>
            </w:r>
          </w:p>
        </w:tc>
        <w:tc>
          <w:tcPr>
            <w:tcW w:w="2463" w:type="dxa"/>
          </w:tcPr>
          <w:p w:rsidR="0000481A" w:rsidRDefault="0037226E" w:rsidP="00964E32">
            <w:pPr>
              <w:spacing w:line="360" w:lineRule="auto"/>
              <w:jc w:val="both"/>
            </w:pPr>
            <w:r>
              <w:t>75</w:t>
            </w:r>
          </w:p>
        </w:tc>
        <w:tc>
          <w:tcPr>
            <w:tcW w:w="2464" w:type="dxa"/>
          </w:tcPr>
          <w:p w:rsidR="0000481A" w:rsidRDefault="0037226E" w:rsidP="00964E32">
            <w:pPr>
              <w:spacing w:line="360" w:lineRule="auto"/>
              <w:jc w:val="both"/>
            </w:pPr>
            <w:r>
              <w:t>25</w:t>
            </w:r>
          </w:p>
        </w:tc>
        <w:tc>
          <w:tcPr>
            <w:tcW w:w="2464" w:type="dxa"/>
          </w:tcPr>
          <w:p w:rsidR="0000481A" w:rsidRDefault="0000481A" w:rsidP="00964E32">
            <w:pPr>
              <w:spacing w:line="360" w:lineRule="auto"/>
              <w:jc w:val="both"/>
            </w:pPr>
            <w:r>
              <w:t>0</w:t>
            </w:r>
          </w:p>
        </w:tc>
      </w:tr>
      <w:tr w:rsidR="0000481A" w:rsidTr="00964E32">
        <w:tc>
          <w:tcPr>
            <w:tcW w:w="2463" w:type="dxa"/>
          </w:tcPr>
          <w:p w:rsidR="0000481A" w:rsidRDefault="0000481A" w:rsidP="00964E32">
            <w:pPr>
              <w:spacing w:line="360" w:lineRule="auto"/>
              <w:jc w:val="both"/>
            </w:pPr>
            <w:r>
              <w:t>Sveikatos</w:t>
            </w:r>
          </w:p>
        </w:tc>
        <w:tc>
          <w:tcPr>
            <w:tcW w:w="2463" w:type="dxa"/>
          </w:tcPr>
          <w:p w:rsidR="0000481A" w:rsidRDefault="0037226E" w:rsidP="00964E32">
            <w:pPr>
              <w:spacing w:line="360" w:lineRule="auto"/>
              <w:jc w:val="both"/>
            </w:pPr>
            <w:r>
              <w:t>87</w:t>
            </w:r>
          </w:p>
        </w:tc>
        <w:tc>
          <w:tcPr>
            <w:tcW w:w="2464" w:type="dxa"/>
          </w:tcPr>
          <w:p w:rsidR="0000481A" w:rsidRDefault="0037226E" w:rsidP="00964E32">
            <w:pPr>
              <w:spacing w:line="360" w:lineRule="auto"/>
              <w:jc w:val="both"/>
            </w:pPr>
            <w:r>
              <w:t>13</w:t>
            </w:r>
          </w:p>
        </w:tc>
        <w:tc>
          <w:tcPr>
            <w:tcW w:w="2464" w:type="dxa"/>
          </w:tcPr>
          <w:p w:rsidR="0000481A" w:rsidRDefault="0000481A" w:rsidP="00964E32">
            <w:pPr>
              <w:spacing w:line="360" w:lineRule="auto"/>
              <w:jc w:val="both"/>
            </w:pPr>
            <w:r>
              <w:t>0</w:t>
            </w:r>
          </w:p>
        </w:tc>
      </w:tr>
      <w:tr w:rsidR="0000481A" w:rsidTr="00964E32">
        <w:tc>
          <w:tcPr>
            <w:tcW w:w="2463" w:type="dxa"/>
          </w:tcPr>
          <w:p w:rsidR="0000481A" w:rsidRDefault="0000481A" w:rsidP="00964E32">
            <w:pPr>
              <w:spacing w:line="360" w:lineRule="auto"/>
              <w:jc w:val="both"/>
            </w:pPr>
            <w:r>
              <w:t>Komunikavimo</w:t>
            </w:r>
          </w:p>
        </w:tc>
        <w:tc>
          <w:tcPr>
            <w:tcW w:w="2463" w:type="dxa"/>
          </w:tcPr>
          <w:p w:rsidR="0000481A" w:rsidRDefault="0037226E" w:rsidP="00964E32">
            <w:pPr>
              <w:spacing w:line="360" w:lineRule="auto"/>
              <w:jc w:val="both"/>
            </w:pPr>
            <w:r>
              <w:t>58</w:t>
            </w:r>
          </w:p>
        </w:tc>
        <w:tc>
          <w:tcPr>
            <w:tcW w:w="2464" w:type="dxa"/>
          </w:tcPr>
          <w:p w:rsidR="0000481A" w:rsidRDefault="0037226E" w:rsidP="00964E32">
            <w:pPr>
              <w:spacing w:line="360" w:lineRule="auto"/>
              <w:jc w:val="both"/>
            </w:pPr>
            <w:r>
              <w:t>42</w:t>
            </w:r>
          </w:p>
        </w:tc>
        <w:tc>
          <w:tcPr>
            <w:tcW w:w="2464" w:type="dxa"/>
          </w:tcPr>
          <w:p w:rsidR="0000481A" w:rsidRDefault="0000481A" w:rsidP="00964E32">
            <w:pPr>
              <w:spacing w:line="360" w:lineRule="auto"/>
              <w:jc w:val="both"/>
            </w:pPr>
            <w:r>
              <w:t>0</w:t>
            </w:r>
          </w:p>
        </w:tc>
      </w:tr>
    </w:tbl>
    <w:p w:rsidR="0000481A" w:rsidRDefault="0000481A" w:rsidP="0000481A">
      <w:pPr>
        <w:spacing w:line="360" w:lineRule="auto"/>
        <w:jc w:val="both"/>
      </w:pPr>
      <w:r>
        <w:lastRenderedPageBreak/>
        <w:t xml:space="preserve">       „Meškiukų“ ikimokyklinė savaitinė mišri  grupė – </w:t>
      </w:r>
      <w:r w:rsidR="0037226E">
        <w:t>8</w:t>
      </w:r>
      <w:r>
        <w:t xml:space="preserve"> </w:t>
      </w:r>
      <w:proofErr w:type="spellStart"/>
      <w:r>
        <w:t>priešmokyklinukai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00481A" w:rsidTr="00964E32">
        <w:tc>
          <w:tcPr>
            <w:tcW w:w="2463" w:type="dxa"/>
          </w:tcPr>
          <w:p w:rsidR="0000481A" w:rsidRPr="00394ECB" w:rsidRDefault="0000481A" w:rsidP="00964E32">
            <w:pPr>
              <w:spacing w:line="360" w:lineRule="auto"/>
              <w:jc w:val="both"/>
              <w:rPr>
                <w:b/>
              </w:rPr>
            </w:pPr>
            <w:r w:rsidRPr="00394ECB">
              <w:rPr>
                <w:b/>
              </w:rPr>
              <w:t>Kompetencijos</w:t>
            </w:r>
          </w:p>
        </w:tc>
        <w:tc>
          <w:tcPr>
            <w:tcW w:w="2463" w:type="dxa"/>
          </w:tcPr>
          <w:p w:rsidR="0000481A" w:rsidRDefault="0000481A" w:rsidP="00964E32">
            <w:pPr>
              <w:spacing w:line="360" w:lineRule="auto"/>
              <w:jc w:val="both"/>
            </w:pPr>
            <w:r>
              <w:t xml:space="preserve">Gebėjimai ir įgūdžiai jau susiformavę </w:t>
            </w:r>
          </w:p>
        </w:tc>
        <w:tc>
          <w:tcPr>
            <w:tcW w:w="2464" w:type="dxa"/>
          </w:tcPr>
          <w:p w:rsidR="0000481A" w:rsidRDefault="0000481A" w:rsidP="00964E32">
            <w:pPr>
              <w:spacing w:line="360" w:lineRule="auto"/>
              <w:jc w:val="both"/>
            </w:pPr>
            <w:r>
              <w:t>Gebėjimai ir įgūdžiai jau formuojasi</w:t>
            </w:r>
          </w:p>
        </w:tc>
        <w:tc>
          <w:tcPr>
            <w:tcW w:w="2464" w:type="dxa"/>
          </w:tcPr>
          <w:p w:rsidR="0000481A" w:rsidRDefault="0000481A" w:rsidP="00964E32">
            <w:pPr>
              <w:spacing w:line="360" w:lineRule="auto"/>
              <w:jc w:val="both"/>
            </w:pPr>
            <w:r>
              <w:t xml:space="preserve">Gebėjimai ir įgūdžiai </w:t>
            </w:r>
            <w:proofErr w:type="spellStart"/>
            <w:r>
              <w:t>formuojais</w:t>
            </w:r>
            <w:proofErr w:type="spellEnd"/>
            <w:r>
              <w:t xml:space="preserve"> lėtai, reikia pagalbos</w:t>
            </w:r>
          </w:p>
        </w:tc>
      </w:tr>
      <w:tr w:rsidR="0000481A" w:rsidTr="00964E32">
        <w:tc>
          <w:tcPr>
            <w:tcW w:w="2463" w:type="dxa"/>
          </w:tcPr>
          <w:p w:rsidR="0000481A" w:rsidRDefault="0000481A" w:rsidP="00964E32">
            <w:pPr>
              <w:spacing w:line="360" w:lineRule="auto"/>
              <w:jc w:val="both"/>
            </w:pPr>
            <w:r>
              <w:t>Socialinė</w:t>
            </w:r>
          </w:p>
        </w:tc>
        <w:tc>
          <w:tcPr>
            <w:tcW w:w="2463" w:type="dxa"/>
          </w:tcPr>
          <w:p w:rsidR="0000481A" w:rsidRDefault="0037226E" w:rsidP="00964E32">
            <w:pPr>
              <w:spacing w:line="360" w:lineRule="auto"/>
              <w:jc w:val="both"/>
            </w:pPr>
            <w:r>
              <w:t>25</w:t>
            </w:r>
          </w:p>
        </w:tc>
        <w:tc>
          <w:tcPr>
            <w:tcW w:w="2464" w:type="dxa"/>
          </w:tcPr>
          <w:p w:rsidR="0000481A" w:rsidRDefault="0037226E" w:rsidP="00964E32">
            <w:pPr>
              <w:spacing w:line="360" w:lineRule="auto"/>
              <w:jc w:val="both"/>
            </w:pPr>
            <w:r>
              <w:t>75</w:t>
            </w:r>
          </w:p>
        </w:tc>
        <w:tc>
          <w:tcPr>
            <w:tcW w:w="2464" w:type="dxa"/>
          </w:tcPr>
          <w:p w:rsidR="0000481A" w:rsidRDefault="0037226E" w:rsidP="00964E32">
            <w:pPr>
              <w:spacing w:line="360" w:lineRule="auto"/>
              <w:jc w:val="both"/>
            </w:pPr>
            <w:r>
              <w:t>0</w:t>
            </w:r>
          </w:p>
        </w:tc>
      </w:tr>
      <w:tr w:rsidR="0000481A" w:rsidTr="00964E32">
        <w:tc>
          <w:tcPr>
            <w:tcW w:w="2463" w:type="dxa"/>
          </w:tcPr>
          <w:p w:rsidR="0000481A" w:rsidRDefault="0000481A" w:rsidP="00964E32">
            <w:pPr>
              <w:spacing w:line="360" w:lineRule="auto"/>
              <w:jc w:val="both"/>
            </w:pPr>
            <w:r>
              <w:t xml:space="preserve">Pažinimo </w:t>
            </w:r>
          </w:p>
        </w:tc>
        <w:tc>
          <w:tcPr>
            <w:tcW w:w="2463" w:type="dxa"/>
          </w:tcPr>
          <w:p w:rsidR="0000481A" w:rsidRDefault="0037226E" w:rsidP="00964E32">
            <w:pPr>
              <w:spacing w:line="360" w:lineRule="auto"/>
              <w:jc w:val="both"/>
            </w:pPr>
            <w:r>
              <w:t>0</w:t>
            </w:r>
          </w:p>
        </w:tc>
        <w:tc>
          <w:tcPr>
            <w:tcW w:w="2464" w:type="dxa"/>
          </w:tcPr>
          <w:p w:rsidR="0000481A" w:rsidRDefault="0037226E" w:rsidP="00964E32">
            <w:pPr>
              <w:spacing w:line="360" w:lineRule="auto"/>
              <w:jc w:val="both"/>
            </w:pPr>
            <w:r>
              <w:t>50</w:t>
            </w:r>
          </w:p>
        </w:tc>
        <w:tc>
          <w:tcPr>
            <w:tcW w:w="2464" w:type="dxa"/>
          </w:tcPr>
          <w:p w:rsidR="0000481A" w:rsidRDefault="0037226E" w:rsidP="00964E32">
            <w:pPr>
              <w:spacing w:line="360" w:lineRule="auto"/>
              <w:jc w:val="both"/>
            </w:pPr>
            <w:r>
              <w:t>50</w:t>
            </w:r>
          </w:p>
        </w:tc>
      </w:tr>
      <w:tr w:rsidR="0000481A" w:rsidTr="00964E32">
        <w:tc>
          <w:tcPr>
            <w:tcW w:w="2463" w:type="dxa"/>
          </w:tcPr>
          <w:p w:rsidR="0000481A" w:rsidRDefault="0000481A" w:rsidP="00964E32">
            <w:pPr>
              <w:spacing w:line="360" w:lineRule="auto"/>
              <w:jc w:val="both"/>
            </w:pPr>
            <w:r>
              <w:t>Meninė</w:t>
            </w:r>
          </w:p>
        </w:tc>
        <w:tc>
          <w:tcPr>
            <w:tcW w:w="2463" w:type="dxa"/>
          </w:tcPr>
          <w:p w:rsidR="0000481A" w:rsidRDefault="0037226E" w:rsidP="00964E32">
            <w:pPr>
              <w:spacing w:line="360" w:lineRule="auto"/>
              <w:jc w:val="both"/>
            </w:pPr>
            <w:r>
              <w:t>50</w:t>
            </w:r>
          </w:p>
        </w:tc>
        <w:tc>
          <w:tcPr>
            <w:tcW w:w="2464" w:type="dxa"/>
          </w:tcPr>
          <w:p w:rsidR="0000481A" w:rsidRDefault="0037226E" w:rsidP="00964E32">
            <w:pPr>
              <w:spacing w:line="360" w:lineRule="auto"/>
              <w:jc w:val="both"/>
            </w:pPr>
            <w:r>
              <w:t>50</w:t>
            </w:r>
          </w:p>
        </w:tc>
        <w:tc>
          <w:tcPr>
            <w:tcW w:w="2464" w:type="dxa"/>
          </w:tcPr>
          <w:p w:rsidR="0000481A" w:rsidRDefault="0037226E" w:rsidP="00964E32">
            <w:pPr>
              <w:spacing w:line="360" w:lineRule="auto"/>
              <w:jc w:val="both"/>
            </w:pPr>
            <w:r>
              <w:t>0</w:t>
            </w:r>
          </w:p>
        </w:tc>
      </w:tr>
      <w:tr w:rsidR="0000481A" w:rsidTr="00964E32">
        <w:tc>
          <w:tcPr>
            <w:tcW w:w="2463" w:type="dxa"/>
          </w:tcPr>
          <w:p w:rsidR="0000481A" w:rsidRDefault="0000481A" w:rsidP="00964E32">
            <w:pPr>
              <w:spacing w:line="360" w:lineRule="auto"/>
              <w:jc w:val="both"/>
            </w:pPr>
            <w:r>
              <w:t>Sveikatos</w:t>
            </w:r>
          </w:p>
        </w:tc>
        <w:tc>
          <w:tcPr>
            <w:tcW w:w="2463" w:type="dxa"/>
          </w:tcPr>
          <w:p w:rsidR="0000481A" w:rsidRDefault="0037226E" w:rsidP="00964E32">
            <w:pPr>
              <w:spacing w:line="360" w:lineRule="auto"/>
              <w:jc w:val="both"/>
            </w:pPr>
            <w:r>
              <w:t>63</w:t>
            </w:r>
          </w:p>
        </w:tc>
        <w:tc>
          <w:tcPr>
            <w:tcW w:w="2464" w:type="dxa"/>
          </w:tcPr>
          <w:p w:rsidR="0000481A" w:rsidRDefault="0037226E" w:rsidP="00964E32">
            <w:pPr>
              <w:spacing w:line="360" w:lineRule="auto"/>
              <w:jc w:val="both"/>
            </w:pPr>
            <w:r>
              <w:t>37</w:t>
            </w:r>
          </w:p>
        </w:tc>
        <w:tc>
          <w:tcPr>
            <w:tcW w:w="2464" w:type="dxa"/>
          </w:tcPr>
          <w:p w:rsidR="0000481A" w:rsidRDefault="0037226E" w:rsidP="00964E32">
            <w:pPr>
              <w:spacing w:line="360" w:lineRule="auto"/>
              <w:jc w:val="both"/>
            </w:pPr>
            <w:r>
              <w:t>0</w:t>
            </w:r>
          </w:p>
        </w:tc>
      </w:tr>
      <w:tr w:rsidR="0000481A" w:rsidTr="00964E32">
        <w:tc>
          <w:tcPr>
            <w:tcW w:w="2463" w:type="dxa"/>
          </w:tcPr>
          <w:p w:rsidR="0000481A" w:rsidRDefault="0000481A" w:rsidP="00964E32">
            <w:pPr>
              <w:spacing w:line="360" w:lineRule="auto"/>
              <w:jc w:val="both"/>
            </w:pPr>
            <w:r>
              <w:t>Komunikavimo</w:t>
            </w:r>
          </w:p>
        </w:tc>
        <w:tc>
          <w:tcPr>
            <w:tcW w:w="2463" w:type="dxa"/>
          </w:tcPr>
          <w:p w:rsidR="0000481A" w:rsidRDefault="0037226E" w:rsidP="00964E32">
            <w:pPr>
              <w:spacing w:line="360" w:lineRule="auto"/>
              <w:jc w:val="both"/>
            </w:pPr>
            <w:r>
              <w:t>25</w:t>
            </w:r>
          </w:p>
        </w:tc>
        <w:tc>
          <w:tcPr>
            <w:tcW w:w="2464" w:type="dxa"/>
          </w:tcPr>
          <w:p w:rsidR="0000481A" w:rsidRDefault="0037226E" w:rsidP="00964E32">
            <w:pPr>
              <w:spacing w:line="360" w:lineRule="auto"/>
              <w:jc w:val="both"/>
            </w:pPr>
            <w:r>
              <w:t>75</w:t>
            </w:r>
          </w:p>
        </w:tc>
        <w:tc>
          <w:tcPr>
            <w:tcW w:w="2464" w:type="dxa"/>
          </w:tcPr>
          <w:p w:rsidR="0000481A" w:rsidRDefault="0037226E" w:rsidP="00964E32">
            <w:pPr>
              <w:spacing w:line="360" w:lineRule="auto"/>
              <w:jc w:val="both"/>
            </w:pPr>
            <w:r>
              <w:t>0</w:t>
            </w:r>
          </w:p>
        </w:tc>
      </w:tr>
    </w:tbl>
    <w:p w:rsidR="0000481A" w:rsidRDefault="0000481A" w:rsidP="0000481A">
      <w:pPr>
        <w:spacing w:line="360" w:lineRule="auto"/>
        <w:jc w:val="both"/>
      </w:pPr>
      <w:r>
        <w:t xml:space="preserve">       </w:t>
      </w:r>
    </w:p>
    <w:p w:rsidR="0000481A" w:rsidRDefault="0000481A" w:rsidP="0000481A">
      <w:pPr>
        <w:spacing w:line="360" w:lineRule="auto"/>
        <w:jc w:val="both"/>
      </w:pPr>
      <w:r>
        <w:t xml:space="preserve">       „</w:t>
      </w:r>
      <w:r w:rsidR="0037226E">
        <w:t>Boružėlių</w:t>
      </w:r>
      <w:r>
        <w:t xml:space="preserve">“ ikimokyklinė mišri  grupė – </w:t>
      </w:r>
      <w:r w:rsidR="0037226E">
        <w:t>8</w:t>
      </w:r>
      <w:r>
        <w:t xml:space="preserve"> </w:t>
      </w:r>
      <w:proofErr w:type="spellStart"/>
      <w:r>
        <w:t>priešmokyklinukai</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00481A" w:rsidTr="00964E32">
        <w:tc>
          <w:tcPr>
            <w:tcW w:w="2463" w:type="dxa"/>
          </w:tcPr>
          <w:p w:rsidR="0000481A" w:rsidRPr="00394ECB" w:rsidRDefault="0000481A" w:rsidP="00964E32">
            <w:pPr>
              <w:spacing w:line="360" w:lineRule="auto"/>
              <w:jc w:val="both"/>
              <w:rPr>
                <w:b/>
              </w:rPr>
            </w:pPr>
            <w:r w:rsidRPr="00394ECB">
              <w:rPr>
                <w:b/>
              </w:rPr>
              <w:t>Kompetencijos</w:t>
            </w:r>
          </w:p>
        </w:tc>
        <w:tc>
          <w:tcPr>
            <w:tcW w:w="2463" w:type="dxa"/>
          </w:tcPr>
          <w:p w:rsidR="0000481A" w:rsidRDefault="0000481A" w:rsidP="00964E32">
            <w:pPr>
              <w:spacing w:line="360" w:lineRule="auto"/>
              <w:jc w:val="both"/>
            </w:pPr>
            <w:r>
              <w:t xml:space="preserve">Gebėjimai ir įgūdžiai jau susiformavę </w:t>
            </w:r>
          </w:p>
        </w:tc>
        <w:tc>
          <w:tcPr>
            <w:tcW w:w="2464" w:type="dxa"/>
          </w:tcPr>
          <w:p w:rsidR="0000481A" w:rsidRDefault="0000481A" w:rsidP="00964E32">
            <w:pPr>
              <w:spacing w:line="360" w:lineRule="auto"/>
              <w:jc w:val="both"/>
            </w:pPr>
            <w:r>
              <w:t>Gebėjimai ir įgūdžiai jau formuojasi</w:t>
            </w:r>
          </w:p>
        </w:tc>
        <w:tc>
          <w:tcPr>
            <w:tcW w:w="2464" w:type="dxa"/>
          </w:tcPr>
          <w:p w:rsidR="0000481A" w:rsidRDefault="0000481A" w:rsidP="00964E32">
            <w:pPr>
              <w:spacing w:line="360" w:lineRule="auto"/>
              <w:jc w:val="both"/>
            </w:pPr>
            <w:r>
              <w:t>Gebėjimai ir įgūdžiai formuojasi lėtai, reikia pagalbos</w:t>
            </w:r>
          </w:p>
        </w:tc>
      </w:tr>
      <w:tr w:rsidR="0000481A" w:rsidTr="00964E32">
        <w:tc>
          <w:tcPr>
            <w:tcW w:w="2463" w:type="dxa"/>
          </w:tcPr>
          <w:p w:rsidR="0000481A" w:rsidRDefault="0000481A" w:rsidP="00964E32">
            <w:pPr>
              <w:spacing w:line="360" w:lineRule="auto"/>
              <w:jc w:val="both"/>
            </w:pPr>
            <w:r>
              <w:t>Socialinė</w:t>
            </w:r>
          </w:p>
        </w:tc>
        <w:tc>
          <w:tcPr>
            <w:tcW w:w="2463" w:type="dxa"/>
          </w:tcPr>
          <w:p w:rsidR="0000481A" w:rsidRDefault="0037226E" w:rsidP="00964E32">
            <w:pPr>
              <w:spacing w:line="360" w:lineRule="auto"/>
              <w:jc w:val="both"/>
            </w:pPr>
            <w:r>
              <w:t>83</w:t>
            </w:r>
          </w:p>
        </w:tc>
        <w:tc>
          <w:tcPr>
            <w:tcW w:w="2464" w:type="dxa"/>
          </w:tcPr>
          <w:p w:rsidR="0000481A" w:rsidRDefault="0037226E" w:rsidP="00964E32">
            <w:pPr>
              <w:spacing w:line="360" w:lineRule="auto"/>
              <w:jc w:val="both"/>
            </w:pPr>
            <w:r>
              <w:t>17</w:t>
            </w:r>
          </w:p>
        </w:tc>
        <w:tc>
          <w:tcPr>
            <w:tcW w:w="2464" w:type="dxa"/>
          </w:tcPr>
          <w:p w:rsidR="0000481A" w:rsidRDefault="0037226E" w:rsidP="00964E32">
            <w:pPr>
              <w:spacing w:line="360" w:lineRule="auto"/>
              <w:jc w:val="both"/>
            </w:pPr>
            <w:r>
              <w:t>0</w:t>
            </w:r>
          </w:p>
        </w:tc>
      </w:tr>
      <w:tr w:rsidR="0000481A" w:rsidTr="00964E32">
        <w:tc>
          <w:tcPr>
            <w:tcW w:w="2463" w:type="dxa"/>
          </w:tcPr>
          <w:p w:rsidR="0000481A" w:rsidRDefault="0000481A" w:rsidP="00964E32">
            <w:pPr>
              <w:spacing w:line="360" w:lineRule="auto"/>
              <w:jc w:val="both"/>
            </w:pPr>
            <w:r>
              <w:t xml:space="preserve">Pažinimo </w:t>
            </w:r>
          </w:p>
        </w:tc>
        <w:tc>
          <w:tcPr>
            <w:tcW w:w="2463" w:type="dxa"/>
          </w:tcPr>
          <w:p w:rsidR="0000481A" w:rsidRDefault="0037226E" w:rsidP="00964E32">
            <w:pPr>
              <w:spacing w:line="360" w:lineRule="auto"/>
              <w:jc w:val="both"/>
            </w:pPr>
            <w:r>
              <w:t>50</w:t>
            </w:r>
          </w:p>
        </w:tc>
        <w:tc>
          <w:tcPr>
            <w:tcW w:w="2464" w:type="dxa"/>
          </w:tcPr>
          <w:p w:rsidR="0000481A" w:rsidRDefault="0037226E" w:rsidP="00964E32">
            <w:pPr>
              <w:spacing w:line="360" w:lineRule="auto"/>
              <w:jc w:val="both"/>
            </w:pPr>
            <w:r>
              <w:t>50</w:t>
            </w:r>
          </w:p>
        </w:tc>
        <w:tc>
          <w:tcPr>
            <w:tcW w:w="2464" w:type="dxa"/>
          </w:tcPr>
          <w:p w:rsidR="0000481A" w:rsidRDefault="0037226E" w:rsidP="00964E32">
            <w:pPr>
              <w:spacing w:line="360" w:lineRule="auto"/>
              <w:jc w:val="both"/>
            </w:pPr>
            <w:r>
              <w:t>0</w:t>
            </w:r>
          </w:p>
        </w:tc>
      </w:tr>
      <w:tr w:rsidR="0000481A" w:rsidTr="00964E32">
        <w:tc>
          <w:tcPr>
            <w:tcW w:w="2463" w:type="dxa"/>
          </w:tcPr>
          <w:p w:rsidR="0000481A" w:rsidRDefault="0000481A" w:rsidP="00964E32">
            <w:pPr>
              <w:spacing w:line="360" w:lineRule="auto"/>
              <w:jc w:val="both"/>
            </w:pPr>
            <w:r>
              <w:t>Meninė</w:t>
            </w:r>
          </w:p>
        </w:tc>
        <w:tc>
          <w:tcPr>
            <w:tcW w:w="2463" w:type="dxa"/>
          </w:tcPr>
          <w:p w:rsidR="0000481A" w:rsidRDefault="0037226E" w:rsidP="00964E32">
            <w:pPr>
              <w:spacing w:line="360" w:lineRule="auto"/>
              <w:jc w:val="both"/>
            </w:pPr>
            <w:r>
              <w:t>100</w:t>
            </w:r>
          </w:p>
        </w:tc>
        <w:tc>
          <w:tcPr>
            <w:tcW w:w="2464" w:type="dxa"/>
          </w:tcPr>
          <w:p w:rsidR="0000481A" w:rsidRDefault="0037226E" w:rsidP="00964E32">
            <w:pPr>
              <w:spacing w:line="360" w:lineRule="auto"/>
              <w:jc w:val="both"/>
            </w:pPr>
            <w:r>
              <w:t>0</w:t>
            </w:r>
          </w:p>
        </w:tc>
        <w:tc>
          <w:tcPr>
            <w:tcW w:w="2464" w:type="dxa"/>
          </w:tcPr>
          <w:p w:rsidR="0000481A" w:rsidRDefault="0037226E" w:rsidP="00964E32">
            <w:pPr>
              <w:spacing w:line="360" w:lineRule="auto"/>
              <w:jc w:val="both"/>
            </w:pPr>
            <w:r>
              <w:t>0</w:t>
            </w:r>
          </w:p>
        </w:tc>
      </w:tr>
      <w:tr w:rsidR="0000481A" w:rsidTr="00964E32">
        <w:tc>
          <w:tcPr>
            <w:tcW w:w="2463" w:type="dxa"/>
          </w:tcPr>
          <w:p w:rsidR="0000481A" w:rsidRDefault="0000481A" w:rsidP="00964E32">
            <w:pPr>
              <w:spacing w:line="360" w:lineRule="auto"/>
              <w:jc w:val="both"/>
            </w:pPr>
            <w:r>
              <w:t>Sveikatos</w:t>
            </w:r>
          </w:p>
        </w:tc>
        <w:tc>
          <w:tcPr>
            <w:tcW w:w="2463" w:type="dxa"/>
          </w:tcPr>
          <w:p w:rsidR="0000481A" w:rsidRDefault="0037226E" w:rsidP="00964E32">
            <w:pPr>
              <w:spacing w:line="360" w:lineRule="auto"/>
              <w:jc w:val="both"/>
            </w:pPr>
            <w:r>
              <w:t>83</w:t>
            </w:r>
          </w:p>
        </w:tc>
        <w:tc>
          <w:tcPr>
            <w:tcW w:w="2464" w:type="dxa"/>
          </w:tcPr>
          <w:p w:rsidR="0000481A" w:rsidRDefault="0037226E" w:rsidP="00964E32">
            <w:pPr>
              <w:spacing w:line="360" w:lineRule="auto"/>
              <w:jc w:val="both"/>
            </w:pPr>
            <w:r>
              <w:t>17</w:t>
            </w:r>
          </w:p>
        </w:tc>
        <w:tc>
          <w:tcPr>
            <w:tcW w:w="2464" w:type="dxa"/>
          </w:tcPr>
          <w:p w:rsidR="0000481A" w:rsidRDefault="0037226E" w:rsidP="00964E32">
            <w:pPr>
              <w:spacing w:line="360" w:lineRule="auto"/>
              <w:jc w:val="both"/>
            </w:pPr>
            <w:r>
              <w:t>0</w:t>
            </w:r>
          </w:p>
        </w:tc>
      </w:tr>
      <w:tr w:rsidR="0000481A" w:rsidTr="00964E32">
        <w:tc>
          <w:tcPr>
            <w:tcW w:w="2463" w:type="dxa"/>
          </w:tcPr>
          <w:p w:rsidR="0000481A" w:rsidRDefault="0000481A" w:rsidP="00964E32">
            <w:pPr>
              <w:spacing w:line="360" w:lineRule="auto"/>
              <w:jc w:val="both"/>
            </w:pPr>
            <w:r>
              <w:t>Komunikavimo</w:t>
            </w:r>
          </w:p>
        </w:tc>
        <w:tc>
          <w:tcPr>
            <w:tcW w:w="2463" w:type="dxa"/>
          </w:tcPr>
          <w:p w:rsidR="0000481A" w:rsidRDefault="0037226E" w:rsidP="00964E32">
            <w:pPr>
              <w:spacing w:line="360" w:lineRule="auto"/>
              <w:jc w:val="both"/>
            </w:pPr>
            <w:r>
              <w:t>50</w:t>
            </w:r>
          </w:p>
        </w:tc>
        <w:tc>
          <w:tcPr>
            <w:tcW w:w="2464" w:type="dxa"/>
          </w:tcPr>
          <w:p w:rsidR="0000481A" w:rsidRDefault="0037226E" w:rsidP="00964E32">
            <w:pPr>
              <w:spacing w:line="360" w:lineRule="auto"/>
              <w:jc w:val="both"/>
            </w:pPr>
            <w:r>
              <w:t>50</w:t>
            </w:r>
          </w:p>
        </w:tc>
        <w:tc>
          <w:tcPr>
            <w:tcW w:w="2464" w:type="dxa"/>
          </w:tcPr>
          <w:p w:rsidR="0000481A" w:rsidRDefault="0037226E" w:rsidP="00964E32">
            <w:pPr>
              <w:spacing w:line="360" w:lineRule="auto"/>
              <w:jc w:val="both"/>
            </w:pPr>
            <w:r>
              <w:t>0</w:t>
            </w:r>
          </w:p>
        </w:tc>
      </w:tr>
    </w:tbl>
    <w:p w:rsidR="0000481A" w:rsidRDefault="0000481A" w:rsidP="0000481A">
      <w:pPr>
        <w:spacing w:line="360" w:lineRule="auto"/>
        <w:ind w:firstLine="1296"/>
        <w:jc w:val="both"/>
      </w:pPr>
    </w:p>
    <w:p w:rsidR="0000481A" w:rsidRDefault="0000481A" w:rsidP="00C07E12">
      <w:pPr>
        <w:spacing w:line="360" w:lineRule="auto"/>
        <w:jc w:val="both"/>
      </w:pPr>
      <w:r>
        <w:t>Priešmokyklinių grupių ugdytiniai geriausių mokyklinės brandos rezultatų pasiekė sveikatos, meninėje kompetencijoje, mažiausi pokyčiai – pažinimo, komunikavimo kompetencijose.</w:t>
      </w:r>
      <w:r w:rsidR="00C07E12">
        <w:t xml:space="preserve"> </w:t>
      </w:r>
      <w:r w:rsidR="00C07E12">
        <w:rPr>
          <w:rFonts w:eastAsia="Calibri"/>
        </w:rPr>
        <w:t>Glaudžiai bendradarbiavome su „Vyturio“ progimnazija.  Varžėmės „Linksmosiose estafetėse“,</w:t>
      </w:r>
      <w:r w:rsidR="00C07E12" w:rsidRPr="004A4A4A">
        <w:rPr>
          <w:rFonts w:eastAsia="Calibri"/>
        </w:rPr>
        <w:t xml:space="preserve"> </w:t>
      </w:r>
      <w:r w:rsidR="00C07E12">
        <w:rPr>
          <w:rFonts w:eastAsia="Calibri"/>
        </w:rPr>
        <w:t xml:space="preserve">  dalyvavome „Vyturio dainos“ koncerte. Vyko auklėtojų-mokytojų-tėvų  susitikimai, sekėme ugdytinių adaptaciją mokykloje. „Pelėdžiukų“ priešmokyklinio ugdymo grupėje įgyvendinome  tarptautinę programą „</w:t>
      </w:r>
      <w:proofErr w:type="spellStart"/>
      <w:r w:rsidR="00C07E12">
        <w:rPr>
          <w:rFonts w:eastAsia="Calibri"/>
        </w:rPr>
        <w:t>Zipio</w:t>
      </w:r>
      <w:proofErr w:type="spellEnd"/>
      <w:r w:rsidR="00C07E12">
        <w:rPr>
          <w:rFonts w:eastAsia="Calibri"/>
        </w:rPr>
        <w:t xml:space="preserve"> draugai“, kurios tikslas – pagerinti emocinę vaikų savijautą padedant jiems įgyti socialinių gebėjimų bei išmokti įveikti sunkumus.  </w:t>
      </w:r>
    </w:p>
    <w:p w:rsidR="006D5038" w:rsidRDefault="006729A8" w:rsidP="006729A8">
      <w:pPr>
        <w:spacing w:line="360" w:lineRule="auto"/>
        <w:jc w:val="both"/>
      </w:pPr>
      <w:r w:rsidRPr="00477E93">
        <w:rPr>
          <w:b/>
        </w:rPr>
        <w:t>Ugdomoji veikla</w:t>
      </w:r>
      <w:r w:rsidRPr="004C7886">
        <w:t>.</w:t>
      </w:r>
      <w:r>
        <w:rPr>
          <w:b/>
        </w:rPr>
        <w:t xml:space="preserve"> </w:t>
      </w:r>
      <w:r>
        <w:t xml:space="preserve">Ugdymas </w:t>
      </w:r>
      <w:r w:rsidR="004C7886">
        <w:t xml:space="preserve"> buvo </w:t>
      </w:r>
      <w:r>
        <w:t>organizuojamas pagal „Bendrąją priešmokyklinio ugdymo(si) programą.  2014-2015 mokslo  metais ikimokyklinio ugdymo mokykloje prioritetas buvo teikiamas  sveiko vaiko ugdymui. Padėjome vaikui plėtoti ir formuoti sveikatos saugojimo ir stiprinimo kompetenciją.</w:t>
      </w:r>
      <w:r w:rsidR="004C7886">
        <w:t xml:space="preserve"> Dalyvavome LFF ilgalaikės masinio vaikų užimtumo programos „Sugrąžinkime vaikus į stadionus“ projekte „</w:t>
      </w:r>
      <w:proofErr w:type="spellStart"/>
      <w:r w:rsidR="004C7886">
        <w:t>Futboliukas</w:t>
      </w:r>
      <w:proofErr w:type="spellEnd"/>
      <w:r w:rsidR="004C7886">
        <w:t xml:space="preserve">“. </w:t>
      </w:r>
      <w:r>
        <w:t xml:space="preserve">Organizavome kolektyvines mankštas „Sportuokime su Buratinu!“, „Sportuojame su  piratu“, “Sportuojame su žiogu ir muse“. Surengėme  draugišką </w:t>
      </w:r>
      <w:proofErr w:type="spellStart"/>
      <w:r>
        <w:lastRenderedPageBreak/>
        <w:t>futboliuko</w:t>
      </w:r>
      <w:proofErr w:type="spellEnd"/>
      <w:r>
        <w:t xml:space="preserve"> turnyrą su lopšeliais-darželiais „Žilvinas“, „Vaivorykštė“, „Vyturio“ progimnazija.  „Pelėdžiukų“ grupės vaikai su priešmokyklinio ugdymo pedagoge Nijole Kaminskiene dalyvavo Europos judriosios savaitės renginyje – </w:t>
      </w:r>
      <w:proofErr w:type="spellStart"/>
      <w:r>
        <w:t>paspirtukų</w:t>
      </w:r>
      <w:proofErr w:type="spellEnd"/>
      <w:r>
        <w:t xml:space="preserve"> varžybose, kurias organizavo Panevėžio miesto savivaldybė. Mūsų įstaigos tradicinės „</w:t>
      </w:r>
      <w:proofErr w:type="spellStart"/>
      <w:r>
        <w:t>Paspirtukų</w:t>
      </w:r>
      <w:proofErr w:type="spellEnd"/>
      <w:r>
        <w:t xml:space="preserve"> lenktynės“ </w:t>
      </w:r>
      <w:r w:rsidR="004C7886">
        <w:t xml:space="preserve"> taip pat</w:t>
      </w:r>
      <w:r w:rsidR="00C07E12">
        <w:t xml:space="preserve"> </w:t>
      </w:r>
      <w:r>
        <w:t>sukvietė varžytis priešmokyklinio  amžiaus vaikus. Kiekvieną mėnesį vyko sveikatingumo dienelės, kurių metu vaikai gamino sveikuolių mišrainės, skanavo įvairias žolelių arbatas, vyko sportinės pramogos, šventės. Dalyvavome Panevėžio visuomenės sveikatos biuro organizuotame kūrybos konkurse „Mūsų akytės“. Vyko renginiai: „</w:t>
      </w:r>
      <w:proofErr w:type="spellStart"/>
      <w:r>
        <w:t>Sveikuoliuko</w:t>
      </w:r>
      <w:proofErr w:type="spellEnd"/>
      <w:r>
        <w:t xml:space="preserve"> abėcėlė“ – „Pelėdžiukų“ grupė, „Vitaminų paradas“</w:t>
      </w:r>
      <w:r w:rsidR="005312C3">
        <w:t xml:space="preserve">– </w:t>
      </w:r>
      <w:r>
        <w:t>„Boružėlių“ grupė,  „Sveikas maistas – tai jėga“ – „Meškiukų“ grupė. 2014 metų spalio 13-17 dienomis vyko  akcija „Sveikatingumo pertraukų savaitė“, kurios metu surengėme vaikų piešinių paroda „Aš mėgstu sportuoti“, vyko edukaciniai renginiai „Pažink savo kūną“, „Dėlioju maisto piramidę“, „Žaidimų dienelės“, kolektyvinės mankštos. Grupių bendruomenės vykdė projektus: „Auginu knygų medį“ – „Boružėlių“ grupė, „“Mažieji sportininkai“ – „</w:t>
      </w:r>
      <w:proofErr w:type="spellStart"/>
      <w:r>
        <w:t>Meškiukų“grupė</w:t>
      </w:r>
      <w:proofErr w:type="spellEnd"/>
      <w:r>
        <w:t>, „Knygų pasaulyje“ – „Pelėdžiukų“ grupė</w:t>
      </w:r>
      <w:r w:rsidR="005312C3">
        <w:t>.</w:t>
      </w:r>
    </w:p>
    <w:p w:rsidR="00477E93" w:rsidRDefault="006729A8" w:rsidP="005312C3">
      <w:pPr>
        <w:spacing w:line="360" w:lineRule="auto"/>
        <w:ind w:firstLine="1296"/>
        <w:jc w:val="both"/>
      </w:pPr>
      <w:r>
        <w:t xml:space="preserve">Pakankamą dėmesį skyrėme vaikų tautiniam, pilietiniam ugdymui. Tradiciškai paminėjome sausio 13-osios įvykius dalyvaudami pilietinėje akcijoje „Atmintis gyva, nes liudija“, surengėme Lietuvos gimtadienio paminėjimo šventę „Lietuva, tu šalele mylima“, </w:t>
      </w:r>
      <w:proofErr w:type="spellStart"/>
      <w:r w:rsidR="005312C3">
        <w:t>Priešmokyklinukai</w:t>
      </w:r>
      <w:proofErr w:type="spellEnd"/>
      <w:r w:rsidR="005312C3">
        <w:t xml:space="preserve"> dalyvavo </w:t>
      </w:r>
      <w:r>
        <w:t>Panevėžio ikimokyklinių įstaigų renginyje „</w:t>
      </w:r>
      <w:r w:rsidR="00C07E12">
        <w:t>Skiriu</w:t>
      </w:r>
      <w:r>
        <w:t xml:space="preserve"> Lietuvai“. Organizavome renginius, atspindinčius Aukštaitijos krašto tradicijas ir papročius: „Gurgu gurgu į </w:t>
      </w:r>
      <w:proofErr w:type="spellStart"/>
      <w:r>
        <w:t>Kaziuko</w:t>
      </w:r>
      <w:proofErr w:type="spellEnd"/>
      <w:r>
        <w:t xml:space="preserve"> turgų“, „Žiema, žiema, bėk iš kiemo“, „Velykų margutis ritasi“. Siekėme  padėti šeimai pažinti ir perimti lietuvių tautos istorinį bei kultūrinį paveldą. Glaudus šeimų ir pedagogų bendradarbiavimas – vienas esminių kokybišką ugdymą(si) teikiančių darželio bruožų.</w:t>
      </w:r>
      <w:r w:rsidR="005312C3">
        <w:t xml:space="preserve"> </w:t>
      </w:r>
      <w:r>
        <w:t xml:space="preserve"> Ugdytinių šeimos  aktyviai dalyvavo kūrybinių darbų parodose „Mano batukas“, „</w:t>
      </w:r>
      <w:r w:rsidR="004F6889">
        <w:t>Paukštelis</w:t>
      </w:r>
      <w:r>
        <w:t>“. Nemažai dėmesio skyrėme ekologiniam vaikų ugdymui. Parengėme ir įgyvendin</w:t>
      </w:r>
      <w:r w:rsidR="004F6889">
        <w:t xml:space="preserve">ame </w:t>
      </w:r>
      <w:r>
        <w:t xml:space="preserve"> projektą „Mes – gamtos vaikai“. Įstaigoje vyko kūrybinės raiškos savaitė – Žemės dienos renginiai (inkilėlių kėlimo šventė, tradicinis sodo medžių tapymas  ir kt.). </w:t>
      </w:r>
      <w:proofErr w:type="spellStart"/>
      <w:r w:rsidR="004F6889">
        <w:t>Priešmokyklinukai</w:t>
      </w:r>
      <w:proofErr w:type="spellEnd"/>
      <w:r w:rsidR="004F6889">
        <w:t xml:space="preserve"> </w:t>
      </w:r>
      <w:r>
        <w:t xml:space="preserve"> dalyvavo Panevėžio gamtos mokyklos akcijoje „Už vieną trupinėlį čiulbėsiu visą vasarėlę“</w:t>
      </w:r>
      <w:r w:rsidR="004F6889">
        <w:t>.</w:t>
      </w:r>
      <w:r>
        <w:t xml:space="preserve"> </w:t>
      </w:r>
      <w:r w:rsidR="004F6889">
        <w:t>M</w:t>
      </w:r>
      <w:r>
        <w:t>okėmės su vaikais rūšiuoti buitines atliekas</w:t>
      </w:r>
      <w:r w:rsidR="004F6889">
        <w:t>, pasigaminome konteinerius popieriui ir plastmasei rūšiuoti.</w:t>
      </w:r>
      <w:r>
        <w:t xml:space="preserve"> </w:t>
      </w:r>
      <w:proofErr w:type="spellStart"/>
      <w:r w:rsidR="004F6889">
        <w:t>Priešmokyklinukai</w:t>
      </w:r>
      <w:proofErr w:type="spellEnd"/>
      <w:r w:rsidR="004F6889">
        <w:t xml:space="preserve"> dalyvavo </w:t>
      </w:r>
      <w:r>
        <w:t xml:space="preserve">respublikinėje akcijoje „Savaitė be patyčių“, kurios metu vyko „Mandagumo“, „Pagalbos ir </w:t>
      </w:r>
      <w:proofErr w:type="spellStart"/>
      <w:r>
        <w:t>atjautos</w:t>
      </w:r>
      <w:proofErr w:type="spellEnd"/>
      <w:r>
        <w:t>“, „Draugiškumo“, „Meilės“ dienelės. Kaip ir kasmet  nemažai dėmesio skyrėme vaikų saugumui užtikrinti. Organizavome savaitės „Aš turiu būti saugus“ renginius. Vaikai susitiko  su policijos bičiuliu Amsiu, dalyvavo viktorinoje „Šviesoforas“, vyko į saugaus eismo klasę</w:t>
      </w:r>
      <w:r w:rsidR="004F6889">
        <w:t xml:space="preserve">, susipažinome su policijos mobiliu autobusiuku – muziejumi. </w:t>
      </w:r>
      <w:r>
        <w:t>Surengėme du renginius „Būk matomas ir saugus“.</w:t>
      </w:r>
    </w:p>
    <w:p w:rsidR="003A09BA" w:rsidRDefault="003A09BA" w:rsidP="0000481A">
      <w:pPr>
        <w:spacing w:line="360" w:lineRule="auto"/>
        <w:jc w:val="center"/>
        <w:rPr>
          <w:b/>
        </w:rPr>
      </w:pPr>
    </w:p>
    <w:p w:rsidR="0000481A" w:rsidRDefault="0000481A" w:rsidP="0000481A">
      <w:pPr>
        <w:spacing w:line="360" w:lineRule="auto"/>
        <w:jc w:val="center"/>
        <w:rPr>
          <w:b/>
        </w:rPr>
      </w:pPr>
      <w:r>
        <w:rPr>
          <w:b/>
        </w:rPr>
        <w:t>I. BENDROSIOS NUOSTATOS</w:t>
      </w:r>
    </w:p>
    <w:p w:rsidR="0000481A" w:rsidRDefault="0000481A" w:rsidP="0000481A">
      <w:pPr>
        <w:spacing w:line="360" w:lineRule="auto"/>
        <w:jc w:val="both"/>
      </w:pPr>
      <w:r w:rsidRPr="00EC3D03">
        <w:t xml:space="preserve">1. </w:t>
      </w:r>
      <w:r>
        <w:t xml:space="preserve">Lopšelio-darželio „Dobilas“ </w:t>
      </w:r>
      <w:r w:rsidRPr="00EC3D03">
        <w:t>Pr</w:t>
      </w:r>
      <w:r>
        <w:t>iešmokyklinio ugdymo tvarkos aprašas parengtas vadovaujantis Priešmokyklinio ugdymo tvarkos parašu, patvirtintu Lietuvos Respublikos švietimo ir mokslo ministro 2013 m. lapkričio 21 d. įsakymu Nr. V-1106.</w:t>
      </w:r>
    </w:p>
    <w:p w:rsidR="0000481A" w:rsidRDefault="0000481A" w:rsidP="0000481A">
      <w:pPr>
        <w:spacing w:line="360" w:lineRule="auto"/>
        <w:jc w:val="both"/>
      </w:pPr>
      <w:r>
        <w:t xml:space="preserve">2. Priešmokyklinio ugdymo tvarkos aprašas (toliau – Tvarkos aprašas) nustato bendruosius priešmokyklinio ugdymo reikalavimus, priešmokyklinio ugdymo organizavimą ir finansavimą. Priešmokyklinį ugdymą vykdo ikimokyklinio ugdymo mokykla pagal vienerių metų Priešmokyklinio ugdymo ir </w:t>
      </w:r>
      <w:r w:rsidR="00E941B0">
        <w:t xml:space="preserve">bendrąją </w:t>
      </w:r>
      <w:r>
        <w:t xml:space="preserve"> programą, patvirtintą Lietuvos Respublikos švietimo ir mokslo ministro </w:t>
      </w:r>
      <w:r w:rsidR="00E941B0">
        <w:t>2014</w:t>
      </w:r>
      <w:r>
        <w:t xml:space="preserve"> m. </w:t>
      </w:r>
      <w:r w:rsidR="00E941B0">
        <w:t>rugsėjo 2</w:t>
      </w:r>
      <w:r>
        <w:t xml:space="preserve"> d. įsakymu Nr. </w:t>
      </w:r>
      <w:r w:rsidR="00E941B0">
        <w:t>V-779</w:t>
      </w:r>
      <w:r>
        <w:t xml:space="preserve">  (toliau – Programa).</w:t>
      </w:r>
    </w:p>
    <w:p w:rsidR="0000481A" w:rsidRPr="002B34F0" w:rsidRDefault="0000481A" w:rsidP="0000481A">
      <w:pPr>
        <w:spacing w:line="360" w:lineRule="auto"/>
        <w:jc w:val="both"/>
        <w:rPr>
          <w:b/>
        </w:rPr>
      </w:pPr>
      <w:r>
        <w:t>3.  Tvarkos apraše vartojamos sąvokos apibrėžtos Lietuvos Respublikos švietimo įstatyme (</w:t>
      </w:r>
      <w:proofErr w:type="spellStart"/>
      <w:r>
        <w:t>Žin</w:t>
      </w:r>
      <w:proofErr w:type="spellEnd"/>
      <w:r>
        <w:t>., 1991, Nr. 23-593; 2011, Nr. 38-1804) (toliau-Švietimo įstatymas).</w:t>
      </w:r>
    </w:p>
    <w:p w:rsidR="0000481A" w:rsidRDefault="0000481A" w:rsidP="0000481A">
      <w:pPr>
        <w:spacing w:line="360" w:lineRule="auto"/>
        <w:ind w:left="540"/>
        <w:jc w:val="both"/>
      </w:pPr>
      <w:r>
        <w:t xml:space="preserve"> </w:t>
      </w:r>
    </w:p>
    <w:p w:rsidR="0000481A" w:rsidRDefault="0000481A" w:rsidP="0000481A">
      <w:pPr>
        <w:spacing w:line="360" w:lineRule="auto"/>
        <w:ind w:left="540"/>
        <w:jc w:val="center"/>
        <w:rPr>
          <w:b/>
        </w:rPr>
      </w:pPr>
      <w:r>
        <w:rPr>
          <w:b/>
        </w:rPr>
        <w:t>II.  TIKSLAI IR UŽDAVINIAI</w:t>
      </w:r>
    </w:p>
    <w:p w:rsidR="0000481A" w:rsidRDefault="0000481A" w:rsidP="0000481A">
      <w:pPr>
        <w:spacing w:line="360" w:lineRule="auto"/>
        <w:jc w:val="both"/>
      </w:pPr>
      <w:r>
        <w:t>4.1. Tikslai:</w:t>
      </w:r>
    </w:p>
    <w:p w:rsidR="0000481A" w:rsidRDefault="0000481A" w:rsidP="0000481A">
      <w:pPr>
        <w:spacing w:line="360" w:lineRule="auto"/>
        <w:jc w:val="both"/>
      </w:pPr>
      <w:r>
        <w:t>4.1.1. ugdyti asmenybę, galinčią prisitaikyti prie kintančių sąlygų, siekiančią turtinti savo gebėjimus ir patirtį, pozityviai reaguojančią į aplinką;</w:t>
      </w:r>
    </w:p>
    <w:p w:rsidR="0000481A" w:rsidRDefault="0000481A" w:rsidP="0000481A">
      <w:pPr>
        <w:spacing w:line="360" w:lineRule="auto"/>
        <w:jc w:val="both"/>
      </w:pPr>
      <w:r>
        <w:t>4.1.2.sudaryti optimalias sąlygas visapusiškai plėtoti pažintines galias, kūrybiškumą, individualumą.</w:t>
      </w:r>
    </w:p>
    <w:p w:rsidR="0000481A" w:rsidRDefault="0000481A" w:rsidP="0000481A">
      <w:pPr>
        <w:spacing w:line="360" w:lineRule="auto"/>
        <w:jc w:val="both"/>
      </w:pPr>
      <w:r>
        <w:t>4.2. Uždaviniai:</w:t>
      </w:r>
    </w:p>
    <w:p w:rsidR="0000481A" w:rsidRDefault="0000481A" w:rsidP="0000481A">
      <w:pPr>
        <w:spacing w:line="360" w:lineRule="auto"/>
        <w:jc w:val="both"/>
      </w:pPr>
      <w:r>
        <w:t>4.2.1. sudaryti sąlygas įvairiapusei socialinės pakraipos veiklai: projektai, akcijos, kalendorinės šventės, pramogos, pažintinės išvykos;</w:t>
      </w:r>
    </w:p>
    <w:p w:rsidR="0000481A" w:rsidRDefault="0000481A" w:rsidP="0000481A">
      <w:pPr>
        <w:spacing w:line="360" w:lineRule="auto"/>
        <w:jc w:val="both"/>
      </w:pPr>
      <w:r>
        <w:t>4.2.2. individualizuoti ugdymą atsižvelgiant į vaiko poreikius, gebėjimus;</w:t>
      </w:r>
    </w:p>
    <w:p w:rsidR="0000481A" w:rsidRDefault="0000481A" w:rsidP="003B2284">
      <w:pPr>
        <w:spacing w:line="360" w:lineRule="auto"/>
        <w:jc w:val="both"/>
      </w:pPr>
      <w:r>
        <w:t>4.2.3. kurti edukacinę aplinką skatinančią savaiminį aplinkos pažinimą, tenkinančią vaiko poreikius, interesus, įvairių kompetencijų plėtotę.</w:t>
      </w:r>
    </w:p>
    <w:p w:rsidR="003A09BA" w:rsidRDefault="003A09BA" w:rsidP="003B2284">
      <w:pPr>
        <w:spacing w:line="360" w:lineRule="auto"/>
        <w:jc w:val="both"/>
      </w:pPr>
    </w:p>
    <w:p w:rsidR="0000481A" w:rsidRDefault="0000481A" w:rsidP="003B2284">
      <w:pPr>
        <w:spacing w:line="360" w:lineRule="auto"/>
        <w:ind w:left="540"/>
        <w:jc w:val="center"/>
      </w:pPr>
      <w:r>
        <w:rPr>
          <w:b/>
        </w:rPr>
        <w:t>III.  BENDRIEJI PRIEŠMOKYKLINIO UGDYMO REIKALAVIMAI</w:t>
      </w:r>
    </w:p>
    <w:p w:rsidR="0000481A" w:rsidRDefault="0000481A" w:rsidP="0000481A">
      <w:pPr>
        <w:spacing w:line="360" w:lineRule="auto"/>
        <w:jc w:val="both"/>
      </w:pPr>
      <w:r>
        <w:t xml:space="preserve">5. </w:t>
      </w:r>
      <w:r w:rsidRPr="006E44C4">
        <w:t>Priešmokyklinis ugdymas:</w:t>
      </w:r>
    </w:p>
    <w:p w:rsidR="0000481A" w:rsidRDefault="0000481A" w:rsidP="0000481A">
      <w:pPr>
        <w:spacing w:line="360" w:lineRule="auto"/>
        <w:jc w:val="both"/>
      </w:pPr>
      <w:r>
        <w:t>5.1. pradedamas teikti vaikui, kai tais kalendoriniais metais jam sueina 6 metai;</w:t>
      </w:r>
    </w:p>
    <w:p w:rsidR="0000481A" w:rsidRDefault="0000481A" w:rsidP="0000481A">
      <w:pPr>
        <w:spacing w:line="360" w:lineRule="auto"/>
        <w:jc w:val="both"/>
      </w:pPr>
      <w:r>
        <w:t>5.2. gali būti teikiamas anksčiau tėvų (globėjų) prašymu, vadovaujantis Vaiko brandumo mokytis pagal priešmokyklinio ir pradinio ugdymo programas įvertinimo tvarkos aprašu, patvirtintu Lietuvos Respublikos švietimo ir mokslo ministro 2005 m. spalio 29 d. įsakymu Nr. ISAK-2173 (</w:t>
      </w:r>
      <w:proofErr w:type="spellStart"/>
      <w:r>
        <w:t>žin</w:t>
      </w:r>
      <w:proofErr w:type="spellEnd"/>
      <w:r>
        <w:t>., 2005, Nr. 131-4747), bet ne anksčiau, negu jam sueina 5 metai;</w:t>
      </w:r>
    </w:p>
    <w:p w:rsidR="0000481A" w:rsidRDefault="0000481A" w:rsidP="0000481A">
      <w:pPr>
        <w:spacing w:line="360" w:lineRule="auto"/>
        <w:jc w:val="both"/>
      </w:pPr>
      <w:r>
        <w:lastRenderedPageBreak/>
        <w:t xml:space="preserve">5.3. gali būti teikiamas vaikui, kuriam tais kalendoriniais metais sueina 7 metai, kai reikia nuolatinės kvalifikuotų specialistų pagalbos bei sveikatą tausojančio dienos režimo. </w:t>
      </w:r>
    </w:p>
    <w:p w:rsidR="0000481A" w:rsidRPr="00606B3C" w:rsidRDefault="0000481A" w:rsidP="0000481A">
      <w:pPr>
        <w:spacing w:line="360" w:lineRule="auto"/>
        <w:jc w:val="both"/>
        <w:rPr>
          <w:b/>
        </w:rPr>
      </w:pPr>
      <w:r>
        <w:t>6.  Priešmokyklinio amžiaus vaikui ir jo tėvams (globėjams) kompleksiškai teikiamos švietimo pagalba, socialinė parama, sveikatos priežiūros paslaugos švietimo ir mokslo ministro ir sveikatos apsaugos ministro nustatyta tvarka.</w:t>
      </w:r>
    </w:p>
    <w:p w:rsidR="0000481A" w:rsidRDefault="0000481A" w:rsidP="0000481A">
      <w:pPr>
        <w:spacing w:line="360" w:lineRule="auto"/>
        <w:jc w:val="both"/>
      </w:pPr>
      <w:r>
        <w:t>7.   Priešmokyklinio ugdymo trukmė – vieneri metai.</w:t>
      </w:r>
    </w:p>
    <w:p w:rsidR="0000481A" w:rsidRDefault="0000481A" w:rsidP="0000481A">
      <w:pPr>
        <w:spacing w:line="360" w:lineRule="auto"/>
        <w:jc w:val="both"/>
      </w:pPr>
      <w:r>
        <w:t>8.  Mokslo metai prasideda 201</w:t>
      </w:r>
      <w:r w:rsidR="001B2DD8">
        <w:t>5</w:t>
      </w:r>
      <w:r>
        <w:t>m. rugsėjo 1d., baigiasi 201</w:t>
      </w:r>
      <w:r w:rsidR="00044675">
        <w:t>6</w:t>
      </w:r>
      <w:r>
        <w:t xml:space="preserve"> m. </w:t>
      </w:r>
      <w:r w:rsidR="00E941B0">
        <w:t>gegužės 31</w:t>
      </w:r>
      <w:r w:rsidR="001B2DD8">
        <w:t xml:space="preserve"> </w:t>
      </w:r>
      <w:r>
        <w:t xml:space="preserve">d. </w:t>
      </w:r>
    </w:p>
    <w:p w:rsidR="0000481A" w:rsidRDefault="0000481A" w:rsidP="0000481A">
      <w:pPr>
        <w:spacing w:line="360" w:lineRule="auto"/>
        <w:jc w:val="both"/>
      </w:pPr>
      <w:r>
        <w:t>9.  Mokykla dirba 5 dienas per savaitę.</w:t>
      </w:r>
    </w:p>
    <w:p w:rsidR="0000481A" w:rsidRDefault="0000481A" w:rsidP="0000481A">
      <w:pPr>
        <w:spacing w:line="360" w:lineRule="auto"/>
        <w:jc w:val="both"/>
      </w:pPr>
      <w:r>
        <w:t>10. Ugdomosios programos minimali įgyvendinimo trukmė – 6</w:t>
      </w:r>
      <w:r w:rsidR="00531651">
        <w:t>8</w:t>
      </w:r>
      <w:r>
        <w:t xml:space="preserve">0 valandų ( 20 val. per savaitę). Įstaigos vykdoma ugdomoji programą – </w:t>
      </w:r>
      <w:r w:rsidR="00531651">
        <w:t>1836</w:t>
      </w:r>
      <w:r>
        <w:t xml:space="preserve"> val. ( 54 val. per savaitę). </w:t>
      </w:r>
    </w:p>
    <w:p w:rsidR="0000481A" w:rsidRDefault="0000481A" w:rsidP="0000481A">
      <w:pPr>
        <w:spacing w:line="360" w:lineRule="auto"/>
        <w:jc w:val="both"/>
      </w:pPr>
      <w:r>
        <w:t xml:space="preserve">11. Modeliai.  Vadovaujantis Panevėžio miesto savivaldybės tarybos </w:t>
      </w:r>
      <w:r w:rsidR="00094683">
        <w:t>2013</w:t>
      </w:r>
      <w:r>
        <w:t xml:space="preserve"> m.  birželio 27 d. sprendimu Nr. 1-</w:t>
      </w:r>
      <w:r w:rsidR="00094683">
        <w:t>2</w:t>
      </w:r>
      <w:r>
        <w:t>09 patvirtintu „Ikimokyklinio ir priešmokyklinio ugdymo organizavimo modelių aprašu“ bei Panevėžio miesto savivaldybės administracijos direktoriaus įsakymu „Dėl</w:t>
      </w:r>
      <w:r w:rsidR="00094683">
        <w:t xml:space="preserve"> Panevėžio miesto savivaldybės</w:t>
      </w:r>
      <w:r>
        <w:t xml:space="preserve"> švietimo įstaigų pasirinktų ikimokyklinio ir priešmokyklinio ugdymo organizavimo modelių 201</w:t>
      </w:r>
      <w:r w:rsidR="00094683">
        <w:t>5</w:t>
      </w:r>
      <w:r>
        <w:t>-201</w:t>
      </w:r>
      <w:r w:rsidR="00094683">
        <w:t>6</w:t>
      </w:r>
      <w:r>
        <w:t xml:space="preserve"> mokslo metams, patvirtintų savivaldybės administracijos direktoriaus 201</w:t>
      </w:r>
      <w:r w:rsidR="00094683">
        <w:t>5</w:t>
      </w:r>
      <w:r>
        <w:t xml:space="preserve"> m. </w:t>
      </w:r>
      <w:r w:rsidR="00094683">
        <w:t>liepos 17</w:t>
      </w:r>
      <w:r>
        <w:t xml:space="preserve"> d. įsakymu Nr. A-</w:t>
      </w:r>
      <w:r w:rsidR="00094683">
        <w:t>663</w:t>
      </w:r>
      <w:r>
        <w:t xml:space="preserve"> sukomplektuotos 3 grupės, kurios vykdo priešmokyklinį ugdymą:</w:t>
      </w:r>
    </w:p>
    <w:p w:rsidR="0000481A" w:rsidRDefault="0000481A" w:rsidP="0000481A">
      <w:pPr>
        <w:spacing w:line="360" w:lineRule="auto"/>
        <w:jc w:val="both"/>
      </w:pPr>
      <w:r>
        <w:t xml:space="preserve">1)  priešmokyklinio ugdymo grupė – VII modelis, ugdoma 18 </w:t>
      </w:r>
      <w:proofErr w:type="spellStart"/>
      <w:r>
        <w:t>priešmokyklinukų</w:t>
      </w:r>
      <w:proofErr w:type="spellEnd"/>
      <w:r>
        <w:t>;</w:t>
      </w:r>
    </w:p>
    <w:p w:rsidR="0000481A" w:rsidRDefault="0000481A" w:rsidP="0000481A">
      <w:pPr>
        <w:spacing w:line="360" w:lineRule="auto"/>
        <w:jc w:val="both"/>
      </w:pPr>
      <w:r>
        <w:t xml:space="preserve">2) </w:t>
      </w:r>
      <w:r w:rsidR="00094683">
        <w:t>j</w:t>
      </w:r>
      <w:r>
        <w:t xml:space="preserve">ungtinė ikimokyklinė grupė – XIII modelis, ugdomi </w:t>
      </w:r>
      <w:r w:rsidR="00094683">
        <w:t>6</w:t>
      </w:r>
      <w:r>
        <w:t xml:space="preserve"> </w:t>
      </w:r>
      <w:proofErr w:type="spellStart"/>
      <w:r>
        <w:t>priešmokyklinukai</w:t>
      </w:r>
      <w:proofErr w:type="spellEnd"/>
      <w:r>
        <w:t>;</w:t>
      </w:r>
    </w:p>
    <w:p w:rsidR="0000481A" w:rsidRDefault="0000481A" w:rsidP="0000481A">
      <w:pPr>
        <w:spacing w:line="360" w:lineRule="auto"/>
        <w:jc w:val="both"/>
      </w:pPr>
      <w:r>
        <w:t xml:space="preserve">3) </w:t>
      </w:r>
      <w:r w:rsidR="00094683">
        <w:t>j</w:t>
      </w:r>
      <w:r>
        <w:t xml:space="preserve">ungtinė savaitinė ikimokyklinė grupė – XIII modelis, ugdomi </w:t>
      </w:r>
      <w:r w:rsidR="00094683">
        <w:t>5</w:t>
      </w:r>
      <w:r>
        <w:t xml:space="preserve"> </w:t>
      </w:r>
      <w:proofErr w:type="spellStart"/>
      <w:r>
        <w:t>priešmokyklinukai</w:t>
      </w:r>
      <w:proofErr w:type="spellEnd"/>
      <w:r>
        <w:t>. Sudarytos sąlygos lankyti 24 val.  per savaitę grupę vaikams:</w:t>
      </w:r>
    </w:p>
    <w:p w:rsidR="0000481A" w:rsidRDefault="0000481A" w:rsidP="0000481A">
      <w:pPr>
        <w:spacing w:line="360" w:lineRule="auto"/>
        <w:jc w:val="both"/>
      </w:pPr>
      <w:r>
        <w:t>a) kurie turi vieną iš tėvų (kitas iš tėvų – miręs, dingęs be žinios, sulaikytas ikiteisminio tyrimo metu, atlieka bausmę įkalinimo įstaigoje, vaiką augina vieniša motina/tėvas, tėvai išsiskyrę);</w:t>
      </w:r>
    </w:p>
    <w:p w:rsidR="0000481A" w:rsidRDefault="0000481A" w:rsidP="0000481A">
      <w:pPr>
        <w:spacing w:line="360" w:lineRule="auto"/>
        <w:jc w:val="both"/>
      </w:pPr>
      <w:r>
        <w:t>b) iš socialinės rizikos šeimų pagal Savivaldybės administracijos vaiko teisių apsaugos skyriaus pažymas;</w:t>
      </w:r>
    </w:p>
    <w:p w:rsidR="0000481A" w:rsidRDefault="0000481A" w:rsidP="0000481A">
      <w:pPr>
        <w:spacing w:line="360" w:lineRule="auto"/>
        <w:jc w:val="both"/>
      </w:pPr>
      <w:r>
        <w:t>c) iš moksleivių ar studentų šeimos, jei vienas iš tėvų mokosi mokymo įstaigos dieniniame ar  vakariniame skyriuje ( pagal mokymo įstaigos pažymas);</w:t>
      </w:r>
    </w:p>
    <w:p w:rsidR="0000481A" w:rsidRDefault="0000481A" w:rsidP="0000481A">
      <w:pPr>
        <w:spacing w:line="360" w:lineRule="auto"/>
        <w:jc w:val="both"/>
      </w:pPr>
      <w:r>
        <w:t>d) kurių tėvai dirba pagal kintamą darbo grafiką, išvyksta į komandiruote (pateikus grafikus arba darbo pažymas iš darbovietės)</w:t>
      </w:r>
      <w:r w:rsidR="003A09BA">
        <w:t>;</w:t>
      </w:r>
    </w:p>
    <w:p w:rsidR="003A09BA" w:rsidRDefault="003A09BA" w:rsidP="0000481A">
      <w:pPr>
        <w:spacing w:line="360" w:lineRule="auto"/>
        <w:jc w:val="both"/>
      </w:pPr>
      <w:r>
        <w:t xml:space="preserve">e) kurių tėvai (globėjai) turi </w:t>
      </w:r>
      <w:proofErr w:type="spellStart"/>
      <w:r>
        <w:t>neįgalumą</w:t>
      </w:r>
      <w:proofErr w:type="spellEnd"/>
      <w:r>
        <w:t>.</w:t>
      </w:r>
    </w:p>
    <w:p w:rsidR="0000481A" w:rsidRDefault="0000481A" w:rsidP="0000481A">
      <w:pPr>
        <w:spacing w:line="360" w:lineRule="auto"/>
        <w:jc w:val="both"/>
      </w:pPr>
      <w:r>
        <w:t xml:space="preserve">12. </w:t>
      </w:r>
      <w:proofErr w:type="spellStart"/>
      <w:r w:rsidRPr="00DF14CC">
        <w:t>Priešmokyklinukai</w:t>
      </w:r>
      <w:proofErr w:type="spellEnd"/>
      <w:r w:rsidRPr="00DF14CC">
        <w:t xml:space="preserve">, turintys specialiųjų poreikių : </w:t>
      </w:r>
      <w:r>
        <w:t xml:space="preserve">fonetinis kalbėjimo sutrikimas – </w:t>
      </w:r>
      <w:r w:rsidR="000F6DF3">
        <w:t>11</w:t>
      </w:r>
      <w:r>
        <w:t xml:space="preserve">, </w:t>
      </w:r>
      <w:proofErr w:type="spellStart"/>
      <w:r>
        <w:t>fonologinis</w:t>
      </w:r>
      <w:proofErr w:type="spellEnd"/>
      <w:r>
        <w:t xml:space="preserve"> kalb</w:t>
      </w:r>
      <w:r w:rsidR="00094683">
        <w:t>os</w:t>
      </w:r>
      <w:r>
        <w:t xml:space="preserve"> sutrikimas – </w:t>
      </w:r>
      <w:r w:rsidR="000F6DF3">
        <w:t>1</w:t>
      </w:r>
      <w:r>
        <w:t>, mokymosi sunkumai dėl sulėtėjusios raidos</w:t>
      </w:r>
      <w:r w:rsidR="000F6DF3">
        <w:t xml:space="preserve"> (komunikacijos)- 1</w:t>
      </w:r>
      <w:r>
        <w:t xml:space="preserve">, </w:t>
      </w:r>
      <w:r w:rsidR="000F6DF3">
        <w:t>kalbos sutrikimas (nežymus kalbos neišsivystymas)</w:t>
      </w:r>
      <w:r>
        <w:t xml:space="preserve"> – </w:t>
      </w:r>
      <w:r w:rsidR="000F6DF3">
        <w:t>2, kalbos sutrikimas (vidutinis kalbos neišsivystymas) – 1.</w:t>
      </w:r>
      <w:r>
        <w:t xml:space="preserve"> </w:t>
      </w:r>
    </w:p>
    <w:p w:rsidR="0000481A" w:rsidRDefault="0000481A" w:rsidP="0000481A">
      <w:pPr>
        <w:spacing w:line="360" w:lineRule="auto"/>
        <w:jc w:val="both"/>
      </w:pPr>
      <w:r>
        <w:lastRenderedPageBreak/>
        <w:t xml:space="preserve">13. Dirba priešmokyklinio ugdymo pedagogė  </w:t>
      </w:r>
      <w:r w:rsidR="005206D1">
        <w:t xml:space="preserve">Rimutė </w:t>
      </w:r>
      <w:proofErr w:type="spellStart"/>
      <w:r w:rsidR="005206D1">
        <w:t>Ščiukienė</w:t>
      </w:r>
      <w:proofErr w:type="spellEnd"/>
      <w:r>
        <w:t xml:space="preserve">, išsilavinimas – </w:t>
      </w:r>
      <w:r w:rsidR="005206D1">
        <w:t>aukštesnysis</w:t>
      </w:r>
      <w:r>
        <w:t xml:space="preserve"> ikimokyklinis, </w:t>
      </w:r>
      <w:r w:rsidR="005206D1">
        <w:t xml:space="preserve"> vyresniosios </w:t>
      </w:r>
      <w:r>
        <w:t xml:space="preserve">auklėtojos  kvalifikacinė kategorija. Meninio ugdymo pedagogė – Rita Vilkienė, vyresniosios meninio ugdymo pedagogės kvalifikacinė kategorija. Specialiąją pagalbą teikia logopedės: Edita </w:t>
      </w:r>
      <w:proofErr w:type="spellStart"/>
      <w:r>
        <w:t>Gudaitienė</w:t>
      </w:r>
      <w:proofErr w:type="spellEnd"/>
      <w:r>
        <w:t xml:space="preserve"> – vyresniosios logopedės kvalifikacinė kategorija,  Karolina </w:t>
      </w:r>
      <w:proofErr w:type="spellStart"/>
      <w:r>
        <w:t>Masiliūnaitė</w:t>
      </w:r>
      <w:proofErr w:type="spellEnd"/>
      <w:r>
        <w:t>, logopedė</w:t>
      </w:r>
      <w:r w:rsidR="005206D1">
        <w:t>s</w:t>
      </w:r>
      <w:r>
        <w:t xml:space="preserve"> kvalifikacinė kategorija.</w:t>
      </w:r>
    </w:p>
    <w:p w:rsidR="0000481A" w:rsidRDefault="0000481A" w:rsidP="0000481A">
      <w:pPr>
        <w:spacing w:line="360" w:lineRule="auto"/>
        <w:jc w:val="both"/>
      </w:pPr>
      <w:r>
        <w:t>14. Atostogų trukmė:</w:t>
      </w:r>
    </w:p>
    <w:p w:rsidR="0000481A" w:rsidRDefault="0000481A" w:rsidP="0000481A">
      <w:pPr>
        <w:spacing w:line="360" w:lineRule="auto"/>
        <w:jc w:val="both"/>
      </w:pPr>
      <w:r>
        <w:t>rudens –   nuo 201</w:t>
      </w:r>
      <w:r w:rsidR="005206D1">
        <w:t>5</w:t>
      </w:r>
      <w:r>
        <w:t xml:space="preserve"> -10-</w:t>
      </w:r>
      <w:r w:rsidR="005206D1">
        <w:t>26</w:t>
      </w:r>
      <w:r>
        <w:t xml:space="preserve">  iki  </w:t>
      </w:r>
      <w:r w:rsidR="005206D1">
        <w:t>2015-10-30;</w:t>
      </w:r>
    </w:p>
    <w:p w:rsidR="0000481A" w:rsidRDefault="0000481A" w:rsidP="0000481A">
      <w:pPr>
        <w:spacing w:line="360" w:lineRule="auto"/>
        <w:jc w:val="both"/>
      </w:pPr>
      <w:r>
        <w:t xml:space="preserve">žiemos (Kalėdų) –  nuo </w:t>
      </w:r>
      <w:r w:rsidR="005206D1">
        <w:t>2015-</w:t>
      </w:r>
      <w:r w:rsidR="00FB0352">
        <w:t xml:space="preserve"> 12-28</w:t>
      </w:r>
      <w:r>
        <w:t xml:space="preserve"> </w:t>
      </w:r>
      <w:r w:rsidR="00FB0352">
        <w:t>iki</w:t>
      </w:r>
      <w:r>
        <w:t xml:space="preserve"> </w:t>
      </w:r>
      <w:r w:rsidR="00FB0352">
        <w:t>2016-01-08;</w:t>
      </w:r>
    </w:p>
    <w:p w:rsidR="004E338C" w:rsidRDefault="004E338C" w:rsidP="0000481A">
      <w:pPr>
        <w:spacing w:line="360" w:lineRule="auto"/>
        <w:jc w:val="both"/>
      </w:pPr>
      <w:r>
        <w:t>žiemos – 2016-02-15;</w:t>
      </w:r>
    </w:p>
    <w:p w:rsidR="0000481A" w:rsidRDefault="0000481A" w:rsidP="0000481A">
      <w:pPr>
        <w:spacing w:line="360" w:lineRule="auto"/>
        <w:jc w:val="both"/>
      </w:pPr>
      <w:r>
        <w:t xml:space="preserve">pavasario (Velykų)  nuo </w:t>
      </w:r>
      <w:r w:rsidR="00FB0352">
        <w:t>2016-03-21</w:t>
      </w:r>
      <w:r>
        <w:t xml:space="preserve"> </w:t>
      </w:r>
      <w:r w:rsidR="00FB0352">
        <w:t>iki</w:t>
      </w:r>
      <w:r>
        <w:t xml:space="preserve"> </w:t>
      </w:r>
      <w:r w:rsidR="00FB0352">
        <w:t>2016-03-25;</w:t>
      </w:r>
    </w:p>
    <w:p w:rsidR="0000481A" w:rsidRDefault="0000481A" w:rsidP="0000481A">
      <w:pPr>
        <w:spacing w:line="360" w:lineRule="auto"/>
        <w:jc w:val="both"/>
      </w:pPr>
      <w:r>
        <w:t xml:space="preserve">vasaros -  nuo </w:t>
      </w:r>
      <w:r w:rsidR="004E338C">
        <w:t xml:space="preserve">2016-06-06 iki </w:t>
      </w:r>
      <w:r>
        <w:t xml:space="preserve"> </w:t>
      </w:r>
      <w:r w:rsidR="004E338C">
        <w:t>2016-08-31.</w:t>
      </w:r>
    </w:p>
    <w:p w:rsidR="0000481A" w:rsidRDefault="0000481A" w:rsidP="0000481A">
      <w:pPr>
        <w:spacing w:line="360" w:lineRule="auto"/>
        <w:jc w:val="both"/>
      </w:pPr>
      <w:r>
        <w:t>Papildomos atostogos:</w:t>
      </w:r>
    </w:p>
    <w:p w:rsidR="0000481A" w:rsidRDefault="0000481A" w:rsidP="0000481A">
      <w:pPr>
        <w:spacing w:line="360" w:lineRule="auto"/>
        <w:jc w:val="both"/>
      </w:pPr>
      <w:r>
        <w:t xml:space="preserve"> nuo 201</w:t>
      </w:r>
      <w:r w:rsidR="008330AB">
        <w:t>5</w:t>
      </w:r>
      <w:r>
        <w:t>-11-0</w:t>
      </w:r>
      <w:r w:rsidR="008330AB">
        <w:t>2</w:t>
      </w:r>
      <w:r>
        <w:t>– 201</w:t>
      </w:r>
      <w:r w:rsidR="008330AB">
        <w:t>5</w:t>
      </w:r>
      <w:r>
        <w:t>-11-0</w:t>
      </w:r>
      <w:r w:rsidR="008330AB">
        <w:t>6</w:t>
      </w:r>
      <w:r>
        <w:t>;</w:t>
      </w:r>
    </w:p>
    <w:p w:rsidR="0000481A" w:rsidRDefault="0000481A" w:rsidP="0000481A">
      <w:pPr>
        <w:spacing w:line="360" w:lineRule="auto"/>
        <w:jc w:val="both"/>
      </w:pPr>
      <w:r>
        <w:t>nuo 201</w:t>
      </w:r>
      <w:r w:rsidR="008330AB">
        <w:t>6</w:t>
      </w:r>
      <w:r>
        <w:t>-02-1</w:t>
      </w:r>
      <w:r w:rsidR="008330AB">
        <w:t>5</w:t>
      </w:r>
      <w:r>
        <w:t xml:space="preserve"> – 201</w:t>
      </w:r>
      <w:r w:rsidR="008330AB">
        <w:t>6</w:t>
      </w:r>
      <w:r>
        <w:t>-02-</w:t>
      </w:r>
      <w:r w:rsidR="008330AB">
        <w:t>19</w:t>
      </w:r>
      <w:r>
        <w:t>;</w:t>
      </w:r>
    </w:p>
    <w:p w:rsidR="0000481A" w:rsidRDefault="0000481A" w:rsidP="0000481A">
      <w:pPr>
        <w:spacing w:line="360" w:lineRule="auto"/>
        <w:jc w:val="both"/>
      </w:pPr>
      <w:r>
        <w:t>201</w:t>
      </w:r>
      <w:r w:rsidR="008330AB">
        <w:t>6</w:t>
      </w:r>
      <w:r>
        <w:t xml:space="preserve"> -0</w:t>
      </w:r>
      <w:r w:rsidR="008330AB">
        <w:t>4</w:t>
      </w:r>
      <w:r>
        <w:t>-</w:t>
      </w:r>
      <w:r w:rsidR="008330AB">
        <w:t>29</w:t>
      </w:r>
      <w:r>
        <w:t>.</w:t>
      </w:r>
    </w:p>
    <w:p w:rsidR="0000481A" w:rsidRDefault="0000481A" w:rsidP="0000481A">
      <w:pPr>
        <w:spacing w:line="360" w:lineRule="auto"/>
        <w:jc w:val="both"/>
      </w:pPr>
      <w:r>
        <w:t>15. Priešmokyklinio amžiaus vaikai nevedami į įstaigą esant žemesnei nei -20C oro temperatūrai,  esant ligos epidemijai.</w:t>
      </w:r>
    </w:p>
    <w:p w:rsidR="0000481A" w:rsidRDefault="0000481A" w:rsidP="0000481A">
      <w:pPr>
        <w:spacing w:line="360" w:lineRule="auto"/>
        <w:jc w:val="both"/>
      </w:pPr>
      <w:r>
        <w:t xml:space="preserve">16. Tėvams pasirašius </w:t>
      </w:r>
      <w:r w:rsidR="00DC18CB">
        <w:t>P</w:t>
      </w:r>
      <w:r>
        <w:t>riešmokyklinio mokymo (ugdymo) sutartį, vaikui priešmokyklinės ugdymo grupės lankymas yra privalomas.</w:t>
      </w:r>
    </w:p>
    <w:p w:rsidR="0000481A" w:rsidRDefault="0000481A" w:rsidP="0000481A">
      <w:pPr>
        <w:spacing w:line="360" w:lineRule="auto"/>
        <w:jc w:val="center"/>
        <w:rPr>
          <w:b/>
        </w:rPr>
      </w:pPr>
      <w:r>
        <w:rPr>
          <w:b/>
        </w:rPr>
        <w:t>IV</w:t>
      </w:r>
      <w:r w:rsidRPr="004F1D48">
        <w:rPr>
          <w:b/>
        </w:rPr>
        <w:t>. PRIEŠMOKYKLINIO UGDYMO ORGANIZAVIMAS MOKYKLOJE</w:t>
      </w:r>
    </w:p>
    <w:p w:rsidR="0000481A" w:rsidRPr="008C17D8" w:rsidRDefault="0000481A" w:rsidP="0000481A">
      <w:pPr>
        <w:spacing w:line="360" w:lineRule="auto"/>
        <w:jc w:val="both"/>
      </w:pPr>
      <w:r>
        <w:t xml:space="preserve">17. </w:t>
      </w:r>
      <w:r w:rsidRPr="008C17D8">
        <w:t>Priešmokyklinio ugd</w:t>
      </w:r>
      <w:r>
        <w:t>ymo tvarkos aprašas tvirtinamas direktoriaus 201</w:t>
      </w:r>
      <w:r w:rsidR="00477E93">
        <w:t>5</w:t>
      </w:r>
      <w:r>
        <w:t xml:space="preserve"> m. </w:t>
      </w:r>
      <w:r w:rsidR="008D49FA">
        <w:t xml:space="preserve">rugsėjo </w:t>
      </w:r>
      <w:r w:rsidR="00477E93">
        <w:t>1</w:t>
      </w:r>
      <w:r>
        <w:t xml:space="preserve"> d. įsakymu Nr. V1-</w:t>
      </w:r>
      <w:r w:rsidR="008D49FA">
        <w:t>93</w:t>
      </w:r>
      <w:r w:rsidR="000F6DF3">
        <w:t xml:space="preserve"> </w:t>
      </w:r>
      <w:r>
        <w:t>. 201</w:t>
      </w:r>
      <w:r w:rsidR="00477E93">
        <w:t>5</w:t>
      </w:r>
      <w:r>
        <w:t xml:space="preserve"> m. gegužės 20 d. įsakymu Nr. V1-32 „Dėl darbo grupės priešmokyklinio ugdymo tvarkos aprašo 201</w:t>
      </w:r>
      <w:r w:rsidR="000F6DF3">
        <w:t>5</w:t>
      </w:r>
      <w:r>
        <w:t>-201</w:t>
      </w:r>
      <w:r w:rsidR="000F6DF3">
        <w:t>6</w:t>
      </w:r>
      <w:r>
        <w:t xml:space="preserve"> m. m. projekto rengimui sudaryta darbo grupė. Projektas parengtas iki 201</w:t>
      </w:r>
      <w:r w:rsidR="000F6DF3">
        <w:t xml:space="preserve">5 </w:t>
      </w:r>
      <w:r>
        <w:t xml:space="preserve">m. </w:t>
      </w:r>
      <w:r w:rsidR="000F6DF3">
        <w:t>birželio 5</w:t>
      </w:r>
      <w:r>
        <w:t xml:space="preserve"> d. ir apsvarstytas 201</w:t>
      </w:r>
      <w:r w:rsidR="000F6DF3">
        <w:t>5</w:t>
      </w:r>
      <w:r>
        <w:t xml:space="preserve"> m. rugpjūčio </w:t>
      </w:r>
      <w:r w:rsidR="000F6DF3">
        <w:t>31</w:t>
      </w:r>
      <w:r>
        <w:t xml:space="preserve"> d. mokytojų tarybos posėdyje. </w:t>
      </w:r>
    </w:p>
    <w:p w:rsidR="0000481A" w:rsidRDefault="0000481A" w:rsidP="0000481A">
      <w:pPr>
        <w:spacing w:line="360" w:lineRule="auto"/>
        <w:jc w:val="both"/>
      </w:pPr>
      <w:r>
        <w:t>18. Mokykla:</w:t>
      </w:r>
    </w:p>
    <w:p w:rsidR="0000481A" w:rsidRDefault="0000481A" w:rsidP="0000481A">
      <w:pPr>
        <w:spacing w:line="360" w:lineRule="auto"/>
        <w:jc w:val="both"/>
      </w:pPr>
      <w:r>
        <w:t>18.1. informuoja tėvus (globėjus) apie priešmokyklinio ugdymo organizavimą Mokykloje;</w:t>
      </w:r>
      <w:r w:rsidRPr="00C1121A">
        <w:t xml:space="preserve"> </w:t>
      </w:r>
      <w:r>
        <w:t>Informaciją apie priešmokyklinio ugdymo organizavimą teikia įstaigos direktorius, direktoriaus pavaduotojas ugdymui, priešmokyklinio ugdymo pedagogai individualiai ir susirinkimų metu.</w:t>
      </w:r>
    </w:p>
    <w:p w:rsidR="0000481A" w:rsidRDefault="0000481A" w:rsidP="0000481A">
      <w:pPr>
        <w:spacing w:line="360" w:lineRule="auto"/>
        <w:jc w:val="both"/>
      </w:pPr>
      <w:r>
        <w:t>18.2. pasirašius priešmokyklinio mokymo (ugdymo) sutartį ją įregistruoja Mokymo sutarčių registracijos žurnale; iš Mokinių registre sukauptų duomenų  automatiniu būdu formuojamas, o pasibaigus mokslo metams išspausdinamas ir sudaromas Mokinių abėcėlinis žurnalas; Bendroji priešmokyklinio ugdymo(si) sutartis pasirašoma su tėvais įteisinant susitarimus dėl priešmokyklinio ugdymo programos ugdymo plano įgyvendinimo sąlygų ir pagalbos  vieneriems ugdymo metams ir įsigalioja nuo 201</w:t>
      </w:r>
      <w:r w:rsidR="00AE46B4">
        <w:t>5</w:t>
      </w:r>
      <w:r>
        <w:t xml:space="preserve"> m. rugsėjo 1 d. Galioja iki 201</w:t>
      </w:r>
      <w:r w:rsidR="00AE46B4">
        <w:t>6</w:t>
      </w:r>
      <w:r>
        <w:t xml:space="preserve"> m. </w:t>
      </w:r>
      <w:r w:rsidR="00BB3364">
        <w:t>gegužės 31</w:t>
      </w:r>
      <w:r>
        <w:t xml:space="preserve"> dienos.</w:t>
      </w:r>
    </w:p>
    <w:p w:rsidR="0000481A" w:rsidRDefault="0000481A" w:rsidP="0000481A">
      <w:pPr>
        <w:spacing w:line="360" w:lineRule="auto"/>
        <w:jc w:val="both"/>
      </w:pPr>
      <w:r>
        <w:lastRenderedPageBreak/>
        <w:t xml:space="preserve">19. Priešmokyklinio ugdymo proceso organizavimas grupėse. Ugdomoji veikla yra vientisas procesas. Jis neskaidomas į atskiras sritis ir vyksta integruotai. Ugdomoji veikla prasideda 8 val. Priešmokyklinio ugdymo grupėje organizuojamas vaikų maitinimas ir poilsis, vadovaujantis Lietuvos Respublikos sveikatos apsaugos ministro 2010 m. balandžio 22d. įsakymu Nr. V-313 Lietuvos higienos norma HN 75:2010 „Įstaiga, vykdanti ikimokyklinio ir (ar) priešmokyklinio ugdymo programą. Bendrieji sveikatos saugos reikalavimai“. </w:t>
      </w:r>
    </w:p>
    <w:p w:rsidR="0000481A" w:rsidRDefault="0000481A" w:rsidP="0000481A">
      <w:pPr>
        <w:spacing w:line="360" w:lineRule="auto"/>
        <w:jc w:val="both"/>
      </w:pPr>
      <w:r>
        <w:t>20. Priešmokyklinio ugdymo pedagogas ar ikimokyklinio ugdymo auklėtojas, dirbantis Jungtinėje grupėje:</w:t>
      </w:r>
    </w:p>
    <w:p w:rsidR="0000481A" w:rsidRDefault="0000481A" w:rsidP="0000481A">
      <w:pPr>
        <w:spacing w:line="360" w:lineRule="auto"/>
        <w:jc w:val="both"/>
      </w:pPr>
      <w:r>
        <w:t>20.1.  planuodamas grupės ugdomąją veiklą, individualizuoja ugdymo tikslus ir turinį, atsižvelgdamas(i) į bendrą grupės specifiką ir individualius vaikų poreikius, lopšelio-darželio tikslus ir uždavinius, Aukštaitijos regiono ypatumus;</w:t>
      </w:r>
    </w:p>
    <w:p w:rsidR="0000481A" w:rsidRDefault="0000481A" w:rsidP="0000481A">
      <w:pPr>
        <w:spacing w:line="360" w:lineRule="auto"/>
        <w:jc w:val="both"/>
      </w:pPr>
      <w:r>
        <w:t>20.2. organizuoja ugdomąją veiklą pagal Programą, atsižvelgdamas į patvirtinto modelio ypatumus, individualius vaikų poreikius;</w:t>
      </w:r>
    </w:p>
    <w:p w:rsidR="0000481A" w:rsidRDefault="0000481A" w:rsidP="0000481A">
      <w:pPr>
        <w:spacing w:line="360" w:lineRule="auto"/>
        <w:jc w:val="both"/>
      </w:pPr>
      <w:r>
        <w:t>20.3. parengia per 3 savaites nuo programos įgyvendinimo pradžios grupės „Ugdomosios veiklos metų planą“. Šį planą tvirtina direktorius;</w:t>
      </w:r>
    </w:p>
    <w:p w:rsidR="0000481A" w:rsidRDefault="0000481A" w:rsidP="0000481A">
      <w:pPr>
        <w:spacing w:line="360" w:lineRule="auto"/>
        <w:jc w:val="both"/>
      </w:pPr>
      <w:r>
        <w:t xml:space="preserve">20.4. vertina vaikų pažangą ir pasiekimus vadovaudamasis Priešmokyklinio ugdymo </w:t>
      </w:r>
      <w:r w:rsidR="00A445A5">
        <w:t>bendrąja programa</w:t>
      </w:r>
      <w:r>
        <w:t>, patvirtint</w:t>
      </w:r>
      <w:r w:rsidR="00A445A5">
        <w:t>a</w:t>
      </w:r>
      <w:r>
        <w:t xml:space="preserve"> Lietuvos Respublikos švietimo ir mokslo ministro 20</w:t>
      </w:r>
      <w:r w:rsidR="00A445A5">
        <w:t>14</w:t>
      </w:r>
      <w:r>
        <w:t xml:space="preserve"> m. </w:t>
      </w:r>
      <w:r w:rsidR="00A445A5">
        <w:t>rugsėjo 2</w:t>
      </w:r>
      <w:r>
        <w:t xml:space="preserve"> d. įsakymu Nr. </w:t>
      </w:r>
      <w:r w:rsidR="00A445A5">
        <w:t>V-779 „Dėl priešmokyklinio ugdymo bendrosios programos patvirtinimo“;</w:t>
      </w:r>
    </w:p>
    <w:p w:rsidR="0000481A" w:rsidRDefault="0000481A" w:rsidP="0000481A">
      <w:pPr>
        <w:spacing w:line="360" w:lineRule="auto"/>
        <w:jc w:val="both"/>
      </w:pPr>
      <w:r>
        <w:t>20.5. per 4 savaites nuo Programos pradžios atlieka vaikų pirminį pasiekimų vertinimą;</w:t>
      </w:r>
    </w:p>
    <w:p w:rsidR="0000481A" w:rsidRDefault="0000481A" w:rsidP="0000481A">
      <w:pPr>
        <w:spacing w:line="360" w:lineRule="auto"/>
        <w:jc w:val="both"/>
      </w:pPr>
      <w:r>
        <w:t>vaiko pažangą ir pasiekimus  fiksuoja „</w:t>
      </w:r>
      <w:proofErr w:type="spellStart"/>
      <w:r>
        <w:t>Priešmokyklinuko</w:t>
      </w:r>
      <w:proofErr w:type="spellEnd"/>
      <w:r>
        <w:t xml:space="preserve"> pasiekimų apraše“ vadovaujantis „Priešmokyklinio </w:t>
      </w:r>
      <w:r w:rsidR="00A445A5">
        <w:t xml:space="preserve">amžiaus </w:t>
      </w:r>
      <w:r>
        <w:t xml:space="preserve"> vaikų pasiekimų ir pažangos vertinimo tvarkos aprašu“, patvirtintu lopšelio-darželio „Dobilas“ direktor</w:t>
      </w:r>
      <w:r w:rsidR="00A445A5">
        <w:t xml:space="preserve">iaus </w:t>
      </w:r>
      <w:r>
        <w:t xml:space="preserve"> </w:t>
      </w:r>
      <w:r w:rsidR="00A445A5">
        <w:t>2015 m. gegužės 27 d.</w:t>
      </w:r>
      <w:r>
        <w:t xml:space="preserve"> įsakymu Nr. V1-</w:t>
      </w:r>
      <w:r w:rsidR="00A445A5">
        <w:t>84;</w:t>
      </w:r>
    </w:p>
    <w:p w:rsidR="0000481A" w:rsidRDefault="008D49FA" w:rsidP="0000481A">
      <w:pPr>
        <w:spacing w:line="360" w:lineRule="auto"/>
        <w:jc w:val="both"/>
      </w:pPr>
      <w:r>
        <w:t xml:space="preserve">20.6. </w:t>
      </w:r>
      <w:r w:rsidR="0000481A">
        <w:t>įgyvendinęs Programą, atlieka vaikų galutinį pasiekimų vertinimą ir parengia rekomendaciją pradinių klasių mokytojui;</w:t>
      </w:r>
    </w:p>
    <w:p w:rsidR="0000481A" w:rsidRDefault="0000481A" w:rsidP="0000481A">
      <w:pPr>
        <w:spacing w:line="360" w:lineRule="auto"/>
        <w:jc w:val="both"/>
      </w:pPr>
      <w:r>
        <w:t>20.6. vaiko, turinčio specialiųjų ugdymosi poreikių, pasiekimus vertina kartu su logopedu, dirbusiu su vaiku;</w:t>
      </w:r>
    </w:p>
    <w:p w:rsidR="0000481A" w:rsidRDefault="0000481A" w:rsidP="0000481A">
      <w:pPr>
        <w:spacing w:line="360" w:lineRule="auto"/>
        <w:jc w:val="both"/>
      </w:pPr>
      <w:r>
        <w:t>20.7. vaikų pažangą Programos įgyvendinimo laikotarpiu vertina nuolat, pasirinkdamas būdus ir metodus;</w:t>
      </w:r>
    </w:p>
    <w:p w:rsidR="008D49FA" w:rsidRDefault="008D49FA" w:rsidP="0000481A">
      <w:pPr>
        <w:spacing w:line="360" w:lineRule="auto"/>
        <w:jc w:val="both"/>
      </w:pPr>
      <w:r>
        <w:t>20.8. vaikų pasiekimus ir pažangą  su tėvais (globėjais) aptaria individualiai, esant poreikiui, bet ne račiau kaip 2 kartus per metus. Pokalbiuose prireikus dalyvauja  Vaiko gerovės komisijos atstovai, kiti specialistai, administracijos atstovai;</w:t>
      </w:r>
    </w:p>
    <w:p w:rsidR="0000481A" w:rsidRDefault="0000481A" w:rsidP="0000481A">
      <w:pPr>
        <w:spacing w:line="360" w:lineRule="auto"/>
        <w:jc w:val="both"/>
      </w:pPr>
      <w:r>
        <w:t>20.</w:t>
      </w:r>
      <w:r w:rsidR="008D49FA">
        <w:t>9</w:t>
      </w:r>
      <w:r>
        <w:t xml:space="preserve">. </w:t>
      </w:r>
      <w:r w:rsidR="00A445A5">
        <w:t>j</w:t>
      </w:r>
      <w:r>
        <w:t>ungtinėje grupėje  vykdomos priešmokyklinio ir ikimokyklinio ugdymo programos</w:t>
      </w:r>
      <w:r w:rsidR="003B2284">
        <w:t>;</w:t>
      </w:r>
    </w:p>
    <w:p w:rsidR="003B2284" w:rsidRDefault="003B2284" w:rsidP="0000481A">
      <w:pPr>
        <w:spacing w:line="360" w:lineRule="auto"/>
        <w:jc w:val="both"/>
      </w:pPr>
      <w:r>
        <w:t>20.10. renginiai organizuojami pagal 2015-2016 m. m. renginių planą, patvirtintą lopšelio-darželio direktoriaus.</w:t>
      </w:r>
    </w:p>
    <w:p w:rsidR="0000481A" w:rsidRDefault="0000481A" w:rsidP="0000481A">
      <w:pPr>
        <w:spacing w:line="360" w:lineRule="auto"/>
        <w:ind w:left="709"/>
        <w:jc w:val="center"/>
        <w:rPr>
          <w:b/>
        </w:rPr>
      </w:pPr>
      <w:r>
        <w:rPr>
          <w:b/>
        </w:rPr>
        <w:lastRenderedPageBreak/>
        <w:t xml:space="preserve">V. </w:t>
      </w:r>
      <w:r w:rsidRPr="000348AE">
        <w:rPr>
          <w:b/>
        </w:rPr>
        <w:t>SPECIALIŲJŲ POREIKIŲ MOKINIŲ UGDYMO ORGANIZAVIMAS</w:t>
      </w:r>
    </w:p>
    <w:p w:rsidR="0000481A" w:rsidRPr="000348AE" w:rsidRDefault="0000481A" w:rsidP="0000481A">
      <w:pPr>
        <w:spacing w:line="360" w:lineRule="auto"/>
        <w:ind w:left="709"/>
        <w:jc w:val="center"/>
        <w:rPr>
          <w:b/>
        </w:rPr>
      </w:pPr>
    </w:p>
    <w:p w:rsidR="0000481A" w:rsidRDefault="0000481A" w:rsidP="0000481A">
      <w:pPr>
        <w:spacing w:line="360" w:lineRule="auto"/>
        <w:jc w:val="both"/>
      </w:pPr>
      <w:r>
        <w:t>21. Ikimokyklinio ugdymo mokykla atsižvelgia į specialiųjų ugdymosi poreikių turinčių mokinių ugdymosi poreikius ir numato šių poreikių tenkinimo tvarką, aprūpina ugdymui skirtomis specialiojo ugdymo priemonėmis.</w:t>
      </w:r>
    </w:p>
    <w:p w:rsidR="00A445A5" w:rsidRDefault="0000481A" w:rsidP="0000481A">
      <w:pPr>
        <w:spacing w:line="360" w:lineRule="auto"/>
        <w:jc w:val="both"/>
      </w:pPr>
      <w:r>
        <w:t xml:space="preserve">22. Specialiųjų ugdymosi poreikių turintiems mokiniams ugdyti </w:t>
      </w:r>
      <w:r w:rsidR="00A445A5">
        <w:t xml:space="preserve">Priešmokyklinio ugdymo bendrąją programą </w:t>
      </w:r>
      <w:r>
        <w:t xml:space="preserve">pritaiko priešmokyklinio ugdymo pedagogas(ai), atsižvelgdamas į mokinių ugdymosi poreikius, mokyklos vaiko gerovės komisijos, logopedo(ų) rekomendacijas. </w:t>
      </w:r>
    </w:p>
    <w:p w:rsidR="0000481A" w:rsidRDefault="0000481A" w:rsidP="0000481A">
      <w:pPr>
        <w:spacing w:line="360" w:lineRule="auto"/>
        <w:jc w:val="both"/>
      </w:pPr>
      <w:r>
        <w:t>23.Priešmokyklinio ugdymo pedagogą (</w:t>
      </w:r>
      <w:proofErr w:type="spellStart"/>
      <w:r>
        <w:t>us</w:t>
      </w:r>
      <w:proofErr w:type="spellEnd"/>
      <w:r>
        <w:t>) konsultuoja Panevėžio miesto pedagoginės psichologinės tarnybos specialistai.</w:t>
      </w:r>
    </w:p>
    <w:p w:rsidR="0000481A" w:rsidRDefault="0000481A" w:rsidP="0000481A">
      <w:pPr>
        <w:spacing w:line="360" w:lineRule="auto"/>
        <w:jc w:val="both"/>
      </w:pPr>
      <w:r>
        <w:t>24. Organizuodama specialiųjų ugdymosi poreikių turinčių mokinių ugdymą, ikimokyklinio ugdymo mokykla atsižvelgia į mokinių specialiuosius ugdymosi poreikius ir galimai juos sukėlusias priežastis (sutrikimus, negalias, aplinkos veiksnius); ugdymo Programą; ugdymosi aplinką.</w:t>
      </w:r>
    </w:p>
    <w:p w:rsidR="0000481A" w:rsidRDefault="0000481A" w:rsidP="0000481A">
      <w:pPr>
        <w:spacing w:line="360" w:lineRule="auto"/>
        <w:jc w:val="both"/>
      </w:pPr>
      <w:r>
        <w:t>25. Per mokslo metus mokyklos vaiko gerovės komisijai ar pedagoginei psichologinei tarnybai įvertinus ir rekomendavus, gali keistis specialiųjų pratybų skaičius.</w:t>
      </w:r>
    </w:p>
    <w:p w:rsidR="0000481A" w:rsidRDefault="0000481A" w:rsidP="0000481A">
      <w:pPr>
        <w:spacing w:line="360" w:lineRule="auto"/>
        <w:ind w:left="900"/>
        <w:jc w:val="center"/>
        <w:rPr>
          <w:b/>
        </w:rPr>
      </w:pPr>
      <w:r>
        <w:rPr>
          <w:b/>
        </w:rPr>
        <w:t>V.  BAIGIAMOSIOS NUOSTATOS</w:t>
      </w:r>
    </w:p>
    <w:p w:rsidR="0000481A" w:rsidRPr="00BB2CF0" w:rsidRDefault="0000481A" w:rsidP="0000481A">
      <w:pPr>
        <w:spacing w:line="360" w:lineRule="auto"/>
        <w:jc w:val="both"/>
      </w:pPr>
      <w:r>
        <w:t xml:space="preserve">26. </w:t>
      </w:r>
      <w:r w:rsidRPr="00BB2CF0">
        <w:t>Priešmokyklinio ugdymo pedagogas</w:t>
      </w:r>
      <w:r>
        <w:t xml:space="preserve"> ugdymą pagal Programą vykdo vadovaudamasis Lietuvos Respublikos švietimo įstatymu ir šio Tvarkos aprašo nuostatomis. </w:t>
      </w:r>
    </w:p>
    <w:p w:rsidR="0000481A" w:rsidRDefault="0000481A" w:rsidP="0000481A">
      <w:pPr>
        <w:spacing w:line="360" w:lineRule="auto"/>
        <w:jc w:val="both"/>
      </w:pPr>
      <w:r w:rsidRPr="00C343E5">
        <w:t>2</w:t>
      </w:r>
      <w:r>
        <w:t>7</w:t>
      </w:r>
      <w:r w:rsidRPr="00C343E5">
        <w:t xml:space="preserve">. </w:t>
      </w:r>
      <w:r>
        <w:t>Programa finansuojama iš valstybės biudžeto, Panevėžio miesto savivaldybės biudžeto, rėmėjų ir kitomis lėšomis.</w:t>
      </w:r>
    </w:p>
    <w:p w:rsidR="0000481A" w:rsidRPr="00C343E5" w:rsidRDefault="0000481A" w:rsidP="0000481A">
      <w:pPr>
        <w:spacing w:line="360" w:lineRule="auto"/>
        <w:jc w:val="both"/>
      </w:pPr>
      <w:r>
        <w:t xml:space="preserve"> </w:t>
      </w:r>
    </w:p>
    <w:p w:rsidR="0000481A" w:rsidRDefault="0000481A" w:rsidP="0000481A">
      <w:pPr>
        <w:spacing w:line="360" w:lineRule="auto"/>
        <w:jc w:val="both"/>
      </w:pPr>
      <w:r>
        <w:t>SUDERINTA</w:t>
      </w:r>
    </w:p>
    <w:p w:rsidR="0000481A" w:rsidRDefault="0000481A" w:rsidP="0000481A">
      <w:pPr>
        <w:spacing w:line="360" w:lineRule="auto"/>
        <w:jc w:val="both"/>
      </w:pPr>
      <w:r>
        <w:t>Lopšelio-darželio „Dobilas“</w:t>
      </w:r>
    </w:p>
    <w:p w:rsidR="0000481A" w:rsidRDefault="0000481A" w:rsidP="0000481A">
      <w:pPr>
        <w:spacing w:line="360" w:lineRule="auto"/>
        <w:jc w:val="both"/>
      </w:pPr>
      <w:r>
        <w:t xml:space="preserve">tarybos pirmininkė </w:t>
      </w:r>
    </w:p>
    <w:p w:rsidR="0000481A" w:rsidRDefault="0000481A" w:rsidP="0000481A">
      <w:pPr>
        <w:spacing w:line="360" w:lineRule="auto"/>
        <w:jc w:val="both"/>
      </w:pPr>
      <w:r>
        <w:t>Nijolė Kaminskienė</w:t>
      </w:r>
    </w:p>
    <w:p w:rsidR="0000481A" w:rsidRDefault="0000481A" w:rsidP="0000481A">
      <w:pPr>
        <w:spacing w:line="360" w:lineRule="auto"/>
        <w:jc w:val="both"/>
      </w:pPr>
      <w:r>
        <w:t>201</w:t>
      </w:r>
      <w:r w:rsidR="00A445A5">
        <w:t>5</w:t>
      </w:r>
      <w:r>
        <w:t>-08-</w:t>
      </w:r>
      <w:r w:rsidR="00A445A5">
        <w:t>31</w:t>
      </w:r>
    </w:p>
    <w:p w:rsidR="0000481A" w:rsidRDefault="0000481A" w:rsidP="0000481A">
      <w:pPr>
        <w:spacing w:line="360" w:lineRule="auto"/>
        <w:jc w:val="both"/>
      </w:pPr>
    </w:p>
    <w:p w:rsidR="0000481A" w:rsidRPr="002E03F9" w:rsidRDefault="0000481A" w:rsidP="0000481A">
      <w:pPr>
        <w:pStyle w:val="Betarp"/>
        <w:spacing w:line="360" w:lineRule="auto"/>
      </w:pPr>
      <w:r w:rsidRPr="002E03F9">
        <w:t>SUDERINTA</w:t>
      </w:r>
    </w:p>
    <w:p w:rsidR="0000481A" w:rsidRPr="002E03F9" w:rsidRDefault="0000481A" w:rsidP="0000481A">
      <w:pPr>
        <w:pStyle w:val="Betarp"/>
        <w:spacing w:line="360" w:lineRule="auto"/>
      </w:pPr>
      <w:r w:rsidRPr="002E03F9">
        <w:t>Lopšelio-darželio „Dobilas“</w:t>
      </w:r>
    </w:p>
    <w:p w:rsidR="0000481A" w:rsidRDefault="0000481A" w:rsidP="0000481A">
      <w:pPr>
        <w:pStyle w:val="Betarp"/>
        <w:spacing w:line="360" w:lineRule="auto"/>
      </w:pPr>
      <w:r w:rsidRPr="002E03F9">
        <w:t>darbuotojų atstovas</w:t>
      </w:r>
    </w:p>
    <w:p w:rsidR="0000481A" w:rsidRDefault="0000481A" w:rsidP="0000481A">
      <w:pPr>
        <w:spacing w:line="360" w:lineRule="auto"/>
        <w:jc w:val="both"/>
      </w:pPr>
      <w:r>
        <w:t xml:space="preserve">Edita </w:t>
      </w:r>
      <w:proofErr w:type="spellStart"/>
      <w:r>
        <w:t>Gudaitienė</w:t>
      </w:r>
      <w:proofErr w:type="spellEnd"/>
    </w:p>
    <w:p w:rsidR="00E906D0" w:rsidRDefault="0000481A" w:rsidP="008D49FA">
      <w:pPr>
        <w:spacing w:line="360" w:lineRule="auto"/>
        <w:jc w:val="both"/>
      </w:pPr>
      <w:r>
        <w:t>201</w:t>
      </w:r>
      <w:r w:rsidR="00A445A5">
        <w:t>5</w:t>
      </w:r>
      <w:r>
        <w:t>-08-</w:t>
      </w:r>
      <w:r w:rsidR="00A445A5">
        <w:t>31</w:t>
      </w:r>
    </w:p>
    <w:sectPr w:rsidR="00E906D0" w:rsidSect="00AA0F3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00481A"/>
    <w:rsid w:val="0000481A"/>
    <w:rsid w:val="0001228C"/>
    <w:rsid w:val="00013069"/>
    <w:rsid w:val="00037C91"/>
    <w:rsid w:val="00044675"/>
    <w:rsid w:val="00052B40"/>
    <w:rsid w:val="00094683"/>
    <w:rsid w:val="00097EE2"/>
    <w:rsid w:val="000A7AE9"/>
    <w:rsid w:val="000F4344"/>
    <w:rsid w:val="000F6DF3"/>
    <w:rsid w:val="00113812"/>
    <w:rsid w:val="00142E84"/>
    <w:rsid w:val="00157C40"/>
    <w:rsid w:val="001B1754"/>
    <w:rsid w:val="001B2DD8"/>
    <w:rsid w:val="001F0F17"/>
    <w:rsid w:val="00286B26"/>
    <w:rsid w:val="0037226E"/>
    <w:rsid w:val="003A09BA"/>
    <w:rsid w:val="003B2284"/>
    <w:rsid w:val="00477E93"/>
    <w:rsid w:val="004C7886"/>
    <w:rsid w:val="004D2E87"/>
    <w:rsid w:val="004E338C"/>
    <w:rsid w:val="004F6889"/>
    <w:rsid w:val="005206D1"/>
    <w:rsid w:val="00530020"/>
    <w:rsid w:val="005312C3"/>
    <w:rsid w:val="00531651"/>
    <w:rsid w:val="006729A8"/>
    <w:rsid w:val="006B26CE"/>
    <w:rsid w:val="006D3C12"/>
    <w:rsid w:val="006D5038"/>
    <w:rsid w:val="00803D27"/>
    <w:rsid w:val="008330AB"/>
    <w:rsid w:val="008D49FA"/>
    <w:rsid w:val="0094434F"/>
    <w:rsid w:val="00954AFE"/>
    <w:rsid w:val="009D0433"/>
    <w:rsid w:val="00A10DA7"/>
    <w:rsid w:val="00A37E7C"/>
    <w:rsid w:val="00A445A5"/>
    <w:rsid w:val="00AD768F"/>
    <w:rsid w:val="00AE46B4"/>
    <w:rsid w:val="00B0704C"/>
    <w:rsid w:val="00BB3364"/>
    <w:rsid w:val="00BD036E"/>
    <w:rsid w:val="00C07E12"/>
    <w:rsid w:val="00C44AE6"/>
    <w:rsid w:val="00DC18CB"/>
    <w:rsid w:val="00E80697"/>
    <w:rsid w:val="00E906D0"/>
    <w:rsid w:val="00E941B0"/>
    <w:rsid w:val="00EB563B"/>
    <w:rsid w:val="00F12B34"/>
    <w:rsid w:val="00FB035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0481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0481A"/>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11996</Words>
  <Characters>6839</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2015-09-21T09:04:00Z</cp:lastPrinted>
  <dcterms:created xsi:type="dcterms:W3CDTF">2016-03-01T13:08:00Z</dcterms:created>
  <dcterms:modified xsi:type="dcterms:W3CDTF">2016-03-01T13:08:00Z</dcterms:modified>
</cp:coreProperties>
</file>